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theme/themeOverride2.xml" ContentType="application/vnd.openxmlformats-officedocument.themeOverride+xml"/>
  <Default Extension="jpeg" ContentType="image/jpeg"/>
  <Default Extension="emf" ContentType="image/x-emf"/>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5B6" w:rsidRPr="00C14E48" w:rsidRDefault="00D770A9" w:rsidP="00FF57B2">
      <w:pPr>
        <w:rPr>
          <w:rFonts w:ascii="Book Antiqua" w:hAnsi="Book Antiqua"/>
          <w:lang w:val="en-GB"/>
        </w:rPr>
      </w:pPr>
      <w:r>
        <w:rPr>
          <w:rFonts w:ascii="Book Antiqua" w:hAnsi="Book Antiqua"/>
          <w:noProof/>
          <w:lang w:bidi="si-LK"/>
        </w:rPr>
        <w:drawing>
          <wp:inline distT="0" distB="0" distL="0" distR="0">
            <wp:extent cx="2390775" cy="790575"/>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390775" cy="790575"/>
                    </a:xfrm>
                    <a:prstGeom prst="rect">
                      <a:avLst/>
                    </a:prstGeom>
                    <a:noFill/>
                    <a:ln w="9525">
                      <a:noFill/>
                      <a:miter lim="800000"/>
                      <a:headEnd/>
                      <a:tailEnd/>
                    </a:ln>
                  </pic:spPr>
                </pic:pic>
              </a:graphicData>
            </a:graphic>
          </wp:inline>
        </w:drawing>
      </w:r>
    </w:p>
    <w:p w:rsidR="00AA75B6" w:rsidRPr="00C14E48" w:rsidRDefault="00AA75B6" w:rsidP="00296047">
      <w:pPr>
        <w:rPr>
          <w:rFonts w:ascii="Book Antiqua" w:hAnsi="Book Antiqua"/>
          <w:lang w:val="en-GB"/>
        </w:rPr>
      </w:pPr>
    </w:p>
    <w:p w:rsidR="00AA75B6" w:rsidRPr="00FF57B2" w:rsidRDefault="00AA75B6" w:rsidP="00296047">
      <w:pPr>
        <w:rPr>
          <w:rFonts w:ascii="Franklin Gothic Heavy" w:hAnsi="Franklin Gothic Heavy"/>
          <w:color w:val="000080"/>
          <w:lang w:val="en-GB"/>
        </w:rPr>
      </w:pPr>
      <w:r w:rsidRPr="00FF57B2">
        <w:rPr>
          <w:rFonts w:ascii="Franklin Gothic Heavy" w:hAnsi="Franklin Gothic Heavy"/>
          <w:color w:val="000080"/>
          <w:lang w:val="en-GB"/>
        </w:rPr>
        <w:t>Communications Department</w:t>
      </w:r>
    </w:p>
    <w:p w:rsidR="00AA75B6" w:rsidRPr="00FF57B2" w:rsidRDefault="00AA75B6" w:rsidP="00296047">
      <w:pPr>
        <w:rPr>
          <w:rFonts w:ascii="Franklin Gothic Demi Cond" w:hAnsi="Franklin Gothic Demi Cond"/>
          <w:color w:val="000080"/>
          <w:sz w:val="20"/>
          <w:szCs w:val="20"/>
          <w:lang w:val="en-GB"/>
        </w:rPr>
      </w:pPr>
      <w:r w:rsidRPr="00FF57B2">
        <w:rPr>
          <w:rFonts w:ascii="Franklin Gothic Demi Cond" w:hAnsi="Franklin Gothic Demi Cond"/>
          <w:color w:val="000080"/>
          <w:sz w:val="20"/>
          <w:szCs w:val="20"/>
          <w:lang w:val="en-GB"/>
        </w:rPr>
        <w:t xml:space="preserve">30, Janadhipathi Mawatha, Colombo 01, Sri Lanka. </w:t>
      </w:r>
    </w:p>
    <w:p w:rsidR="00AA75B6" w:rsidRPr="00FF57B2" w:rsidRDefault="00AA75B6" w:rsidP="00296047">
      <w:pPr>
        <w:rPr>
          <w:rFonts w:ascii="Franklin Gothic Demi Cond" w:hAnsi="Franklin Gothic Demi Cond"/>
          <w:color w:val="000080"/>
          <w:sz w:val="20"/>
          <w:szCs w:val="20"/>
          <w:lang w:val="en-GB"/>
        </w:rPr>
      </w:pPr>
      <w:r w:rsidRPr="00FF57B2">
        <w:rPr>
          <w:rFonts w:ascii="Franklin Gothic Demi Cond" w:hAnsi="Franklin Gothic Demi Cond"/>
          <w:color w:val="000080"/>
          <w:sz w:val="20"/>
          <w:szCs w:val="20"/>
          <w:lang w:val="en-GB"/>
        </w:rPr>
        <w:t>Tel : 2477424, 2477423, 2477311</w:t>
      </w:r>
    </w:p>
    <w:p w:rsidR="00AA75B6" w:rsidRPr="00FF57B2" w:rsidRDefault="00AA75B6" w:rsidP="00296047">
      <w:pPr>
        <w:rPr>
          <w:rFonts w:ascii="Franklin Gothic Demi Cond" w:hAnsi="Franklin Gothic Demi Cond"/>
          <w:color w:val="000080"/>
          <w:sz w:val="20"/>
          <w:szCs w:val="20"/>
          <w:lang w:val="en-GB"/>
        </w:rPr>
      </w:pPr>
      <w:r w:rsidRPr="00FF57B2">
        <w:rPr>
          <w:rFonts w:ascii="Franklin Gothic Demi Cond" w:hAnsi="Franklin Gothic Demi Cond"/>
          <w:color w:val="000080"/>
          <w:sz w:val="20"/>
          <w:szCs w:val="20"/>
          <w:lang w:val="en-GB"/>
        </w:rPr>
        <w:t>Fax:  2346257, 2477739</w:t>
      </w:r>
    </w:p>
    <w:p w:rsidR="00AA75B6" w:rsidRPr="00FF57B2" w:rsidRDefault="00AA75B6" w:rsidP="00296047">
      <w:pPr>
        <w:rPr>
          <w:rFonts w:ascii="Franklin Gothic Demi Cond" w:hAnsi="Franklin Gothic Demi Cond"/>
          <w:color w:val="000080"/>
          <w:sz w:val="20"/>
          <w:szCs w:val="20"/>
          <w:lang w:val="en-GB"/>
        </w:rPr>
      </w:pPr>
      <w:r w:rsidRPr="00FF57B2">
        <w:rPr>
          <w:rFonts w:ascii="Franklin Gothic Demi Cond" w:hAnsi="Franklin Gothic Demi Cond"/>
          <w:color w:val="000080"/>
          <w:sz w:val="20"/>
          <w:szCs w:val="20"/>
          <w:lang w:val="en-GB"/>
        </w:rPr>
        <w:t xml:space="preserve">E-mail: dcommunications@cbsl.lk, communications@cbsl.lk </w:t>
      </w:r>
    </w:p>
    <w:p w:rsidR="00AA75B6" w:rsidRPr="00FF57B2" w:rsidRDefault="00AA75B6" w:rsidP="00296047">
      <w:pPr>
        <w:rPr>
          <w:rFonts w:ascii="Franklin Gothic Demi Cond" w:hAnsi="Franklin Gothic Demi Cond"/>
          <w:sz w:val="20"/>
          <w:szCs w:val="20"/>
          <w:lang w:val="en-GB"/>
        </w:rPr>
      </w:pPr>
      <w:r w:rsidRPr="00FF57B2">
        <w:rPr>
          <w:rFonts w:ascii="Franklin Gothic Demi Cond" w:hAnsi="Franklin Gothic Demi Cond"/>
          <w:color w:val="000080"/>
          <w:sz w:val="20"/>
          <w:szCs w:val="20"/>
          <w:lang w:val="en-GB"/>
        </w:rPr>
        <w:t xml:space="preserve">Web: </w:t>
      </w:r>
      <w:hyperlink r:id="rId9" w:history="1">
        <w:r w:rsidRPr="00FF57B2">
          <w:rPr>
            <w:rFonts w:ascii="Franklin Gothic Demi Cond" w:hAnsi="Franklin Gothic Demi Cond"/>
            <w:sz w:val="20"/>
            <w:szCs w:val="20"/>
            <w:lang w:val="en-GB"/>
          </w:rPr>
          <w:t>www.cbsl.gov.lk</w:t>
        </w:r>
      </w:hyperlink>
    </w:p>
    <w:p w:rsidR="00AA75B6" w:rsidRPr="00C14E48" w:rsidRDefault="00AA75B6" w:rsidP="00296047">
      <w:pPr>
        <w:rPr>
          <w:rFonts w:ascii="Book Antiqua" w:hAnsi="Book Antiqua"/>
        </w:rPr>
      </w:pPr>
    </w:p>
    <w:p w:rsidR="00AA75B6" w:rsidRPr="00C14E48" w:rsidRDefault="00EA2590" w:rsidP="00296047">
      <w:pPr>
        <w:rPr>
          <w:rFonts w:ascii="Book Antiqua" w:hAnsi="Book Antiqua"/>
        </w:rPr>
      </w:pPr>
      <w:r w:rsidRPr="00EA2590">
        <w:rPr>
          <w:noProof/>
        </w:rPr>
        <w:pict>
          <v:line id="Line 2" o:spid="_x0000_s1030" style="position:absolute;z-index:251656192;visibility:visible" from=".4pt,.75pt" to="253.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" strokecolor="navy"/>
        </w:pict>
      </w:r>
    </w:p>
    <w:p w:rsidR="00AA75B6" w:rsidRPr="00FF57B2" w:rsidRDefault="00AA75B6" w:rsidP="00296047">
      <w:pPr>
        <w:pStyle w:val="Heading1"/>
        <w:spacing w:before="0" w:beforeAutospacing="0" w:line="240" w:lineRule="auto"/>
        <w:rPr>
          <w:rFonts w:ascii="Franklin Gothic Heavy" w:hAnsi="Franklin Gothic Heavy"/>
          <w:color w:val="002060"/>
          <w:sz w:val="72"/>
          <w:szCs w:val="72"/>
          <w:lang w:val="en-GB"/>
        </w:rPr>
      </w:pPr>
      <w:r w:rsidRPr="00FF57B2">
        <w:rPr>
          <w:rFonts w:ascii="Franklin Gothic Heavy" w:hAnsi="Franklin Gothic Heavy"/>
          <w:color w:val="002060"/>
          <w:sz w:val="72"/>
          <w:szCs w:val="72"/>
          <w:lang w:val="en-GB"/>
        </w:rPr>
        <w:t>Press Release</w:t>
      </w:r>
    </w:p>
    <w:p w:rsidR="00AA75B6" w:rsidRPr="00C14E48" w:rsidRDefault="00EA2590" w:rsidP="00296047">
      <w:pPr>
        <w:jc w:val="both"/>
        <w:rPr>
          <w:rFonts w:ascii="Book Antiqua" w:hAnsi="Book Antiqua"/>
          <w:sz w:val="20"/>
          <w:szCs w:val="20"/>
          <w:lang w:val="en-GB"/>
        </w:rPr>
      </w:pPr>
      <w:r w:rsidRPr="00EA2590">
        <w:rPr>
          <w:noProof/>
        </w:rPr>
        <w:pict>
          <v:shapetype id="_x0000_t202" coordsize="21600,21600" o:spt="202" path="m,l,21600r21600,l21600,xe">
            <v:stroke joinstyle="miter"/>
            <v:path gradientshapeok="t" o:connecttype="rect"/>
          </v:shapetype>
          <v:shape id="Text Box 3" o:spid="_x0000_s1029" type="#_x0000_t202" style="position:absolute;left:0;text-align:left;margin-left:66.75pt;margin-top:.1pt;width:214.65pt;height:30.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C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" filled="f" stroked="f">
            <v:textbox>
              <w:txbxContent>
                <w:p w:rsidR="00CB1F8A" w:rsidRPr="008F0E9E" w:rsidRDefault="00CB1F8A" w:rsidP="00296047">
                  <w:pPr>
                    <w:rPr>
                      <w:rFonts w:ascii="Book Antiqua" w:hAnsi="Book Antiqua"/>
                    </w:rPr>
                  </w:pPr>
                  <w:r w:rsidRPr="008F0E9E">
                    <w:rPr>
                      <w:rFonts w:ascii="Book Antiqua" w:hAnsi="Book Antiqua"/>
                    </w:rPr>
                    <w:t>Economic Research Department</w:t>
                  </w:r>
                </w:p>
                <w:p w:rsidR="00CB1F8A" w:rsidRPr="008F0E9E" w:rsidRDefault="00CB1F8A" w:rsidP="00296047">
                  <w:pPr>
                    <w:rPr>
                      <w:rFonts w:ascii="Book Antiqua" w:hAnsi="Book Antiqua"/>
                      <w:sz w:val="16"/>
                      <w:szCs w:val="16"/>
                    </w:rPr>
                  </w:pPr>
                </w:p>
              </w:txbxContent>
            </v:textbox>
          </v:shape>
        </w:pict>
      </w:r>
      <w:r w:rsidR="00AA75B6" w:rsidRPr="00C14E48">
        <w:rPr>
          <w:rFonts w:ascii="Book Antiqua" w:hAnsi="Book Antiqua"/>
          <w:lang w:val="en-GB"/>
        </w:rPr>
        <w:object w:dxaOrig="1293" w:dyaOrig="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5pt;height:39.35pt" o:ole="">
            <v:imagedata r:id="rId10" o:title=""/>
          </v:shape>
          <o:OLEObject Type="Embed" ProgID="CorelDRAW.Graphic.12" ShapeID="_x0000_i1025" DrawAspect="Content" ObjectID="_1478604972" r:id="rId11"/>
        </w:object>
      </w:r>
      <w:r w:rsidR="00BC4F8D" w:rsidRPr="00C14E48">
        <w:rPr>
          <w:rFonts w:ascii="Book Antiqua" w:hAnsi="Book Antiqua"/>
          <w:lang w:val="en-GB"/>
        </w:rPr>
        <w:t xml:space="preserve">   </w:t>
      </w:r>
      <w:r w:rsidR="008A1573">
        <w:rPr>
          <w:rFonts w:ascii="Book Antiqua" w:hAnsi="Book Antiqua"/>
          <w:lang w:val="en-GB"/>
        </w:rPr>
        <w:t>0</w:t>
      </w:r>
      <w:r w:rsidR="00F02C98">
        <w:rPr>
          <w:rFonts w:ascii="Book Antiqua" w:hAnsi="Book Antiqua"/>
          <w:lang w:val="en-GB"/>
        </w:rPr>
        <w:t>7</w:t>
      </w:r>
      <w:r w:rsidR="00C3129C" w:rsidRPr="00C14E48">
        <w:rPr>
          <w:rFonts w:ascii="Book Antiqua" w:hAnsi="Book Antiqua"/>
          <w:lang w:val="en-GB"/>
        </w:rPr>
        <w:t>.</w:t>
      </w:r>
      <w:r w:rsidR="0019216F">
        <w:rPr>
          <w:rFonts w:ascii="Book Antiqua" w:hAnsi="Book Antiqua"/>
          <w:lang w:val="en-GB"/>
        </w:rPr>
        <w:t>1</w:t>
      </w:r>
      <w:r w:rsidR="008A1573">
        <w:rPr>
          <w:rFonts w:ascii="Book Antiqua" w:hAnsi="Book Antiqua"/>
          <w:lang w:val="en-GB"/>
        </w:rPr>
        <w:t>1</w:t>
      </w:r>
      <w:r w:rsidR="00C3129C" w:rsidRPr="00C14E48">
        <w:rPr>
          <w:rFonts w:ascii="Book Antiqua" w:hAnsi="Book Antiqua"/>
          <w:lang w:val="en-GB"/>
        </w:rPr>
        <w:t>.2014</w:t>
      </w:r>
    </w:p>
    <w:p w:rsidR="00AA75B6" w:rsidRDefault="00AA75B6" w:rsidP="00296047">
      <w:pPr>
        <w:pStyle w:val="BodyTextIndent3"/>
        <w:spacing w:before="240" w:line="360" w:lineRule="auto"/>
        <w:ind w:left="0"/>
        <w:jc w:val="center"/>
        <w:rPr>
          <w:rFonts w:ascii="Book Antiqua" w:hAnsi="Book Antiqua"/>
          <w:b/>
          <w:sz w:val="32"/>
          <w:szCs w:val="32"/>
          <w:lang w:val="en-GB"/>
        </w:rPr>
      </w:pPr>
      <w:r w:rsidRPr="00FF57B2">
        <w:rPr>
          <w:rFonts w:ascii="Book Antiqua" w:hAnsi="Book Antiqua"/>
          <w:b/>
          <w:sz w:val="32"/>
          <w:szCs w:val="32"/>
          <w:lang w:val="en-GB"/>
        </w:rPr>
        <w:t xml:space="preserve">External Sector Performance – </w:t>
      </w:r>
      <w:r w:rsidR="00875C2D">
        <w:rPr>
          <w:rFonts w:ascii="Book Antiqua" w:hAnsi="Book Antiqua"/>
          <w:b/>
          <w:sz w:val="32"/>
          <w:szCs w:val="32"/>
          <w:lang w:val="en-GB"/>
        </w:rPr>
        <w:t>September</w:t>
      </w:r>
      <w:r w:rsidR="009C27AA" w:rsidRPr="00FF57B2">
        <w:rPr>
          <w:rFonts w:ascii="Book Antiqua" w:hAnsi="Book Antiqua"/>
          <w:b/>
          <w:sz w:val="32"/>
          <w:szCs w:val="32"/>
          <w:lang w:val="en-GB"/>
        </w:rPr>
        <w:t xml:space="preserve"> </w:t>
      </w:r>
      <w:r w:rsidRPr="00FF57B2">
        <w:rPr>
          <w:rFonts w:ascii="Book Antiqua" w:hAnsi="Book Antiqua"/>
          <w:b/>
          <w:sz w:val="32"/>
          <w:szCs w:val="32"/>
          <w:lang w:val="en-GB"/>
        </w:rPr>
        <w:t>201</w:t>
      </w:r>
      <w:r w:rsidR="003F5961" w:rsidRPr="00FF57B2">
        <w:rPr>
          <w:rFonts w:ascii="Book Antiqua" w:hAnsi="Book Antiqua"/>
          <w:b/>
          <w:sz w:val="32"/>
          <w:szCs w:val="32"/>
          <w:lang w:val="en-GB"/>
        </w:rPr>
        <w:t>4</w:t>
      </w:r>
    </w:p>
    <w:p w:rsidR="007A06A1" w:rsidRPr="000F3498" w:rsidRDefault="007A06A1" w:rsidP="007A06A1">
      <w:pPr>
        <w:pStyle w:val="Default"/>
        <w:spacing w:after="120" w:line="360" w:lineRule="auto"/>
        <w:jc w:val="both"/>
        <w:rPr>
          <w:rFonts w:cs="Times New Roman"/>
          <w:b/>
          <w:lang w:val="en-GB" w:bidi="ar-SA"/>
        </w:rPr>
      </w:pPr>
      <w:r w:rsidRPr="000F3498">
        <w:rPr>
          <w:rFonts w:cs="Times New Roman"/>
          <w:b/>
          <w:lang w:val="en-GB" w:bidi="ar-SA"/>
        </w:rPr>
        <w:t>Overview</w:t>
      </w:r>
    </w:p>
    <w:p w:rsidR="007A06A1" w:rsidRPr="00631AB8" w:rsidRDefault="007A06A1" w:rsidP="007A06A1">
      <w:pPr>
        <w:pStyle w:val="Default"/>
        <w:spacing w:after="120" w:line="360" w:lineRule="auto"/>
        <w:jc w:val="both"/>
        <w:rPr>
          <w:rFonts w:cs="Times New Roman"/>
          <w:bCs/>
          <w:lang w:val="en-GB" w:bidi="ar-SA"/>
        </w:rPr>
      </w:pPr>
      <w:r w:rsidRPr="000E0ED2">
        <w:rPr>
          <w:rFonts w:cs="Times New Roman"/>
          <w:b/>
          <w:lang w:val="en-GB" w:bidi="ar-SA"/>
        </w:rPr>
        <w:t xml:space="preserve">External sector </w:t>
      </w:r>
      <w:r w:rsidR="00F36F3A">
        <w:rPr>
          <w:rFonts w:cs="Times New Roman"/>
          <w:b/>
          <w:lang w:val="en-GB" w:bidi="ar-SA"/>
        </w:rPr>
        <w:t xml:space="preserve">sustained its </w:t>
      </w:r>
      <w:r w:rsidR="002670A6">
        <w:rPr>
          <w:rFonts w:cs="Times New Roman"/>
          <w:b/>
          <w:lang w:val="en-GB" w:bidi="ar-SA"/>
        </w:rPr>
        <w:t>growth momentum</w:t>
      </w:r>
      <w:r w:rsidR="00F36F3A">
        <w:rPr>
          <w:rFonts w:cs="Times New Roman"/>
          <w:b/>
          <w:lang w:val="en-GB" w:bidi="ar-SA"/>
        </w:rPr>
        <w:t xml:space="preserve"> with expanding </w:t>
      </w:r>
      <w:r w:rsidR="002670A6">
        <w:rPr>
          <w:rFonts w:cs="Times New Roman"/>
          <w:b/>
          <w:lang w:val="en-GB" w:bidi="ar-SA"/>
        </w:rPr>
        <w:t>external trade activities</w:t>
      </w:r>
      <w:r w:rsidRPr="000E0ED2">
        <w:rPr>
          <w:rFonts w:cs="Times New Roman"/>
          <w:b/>
          <w:lang w:val="en-GB" w:bidi="ar-SA"/>
        </w:rPr>
        <w:t xml:space="preserve"> in September 2014.</w:t>
      </w:r>
      <w:r w:rsidRPr="00984AEB">
        <w:rPr>
          <w:rFonts w:cs="Times New Roman"/>
          <w:bCs/>
          <w:lang w:val="en-GB" w:bidi="ar-SA"/>
        </w:rPr>
        <w:t xml:space="preserve"> </w:t>
      </w:r>
      <w:r w:rsidR="002670A6" w:rsidRPr="00984AEB">
        <w:rPr>
          <w:rFonts w:cs="Times New Roman"/>
          <w:bCs/>
          <w:lang w:val="en-GB" w:bidi="ar-SA"/>
        </w:rPr>
        <w:t>Since July 2014</w:t>
      </w:r>
      <w:r w:rsidR="002670A6">
        <w:rPr>
          <w:rFonts w:cs="Times New Roman"/>
          <w:bCs/>
          <w:lang w:val="en-GB" w:bidi="ar-SA"/>
        </w:rPr>
        <w:t>, t</w:t>
      </w:r>
      <w:r w:rsidRPr="00984AEB">
        <w:rPr>
          <w:rFonts w:cs="Times New Roman"/>
          <w:bCs/>
          <w:lang w:val="en-GB" w:bidi="ar-SA"/>
        </w:rPr>
        <w:t xml:space="preserve">he expenditure on imports </w:t>
      </w:r>
      <w:r w:rsidR="00F36F3A">
        <w:rPr>
          <w:rFonts w:cs="Times New Roman"/>
          <w:bCs/>
          <w:lang w:val="en-GB" w:bidi="ar-SA"/>
        </w:rPr>
        <w:t>continued to rise reflecting the rebound of investment goods imports</w:t>
      </w:r>
      <w:r w:rsidR="002951CA">
        <w:rPr>
          <w:rFonts w:cs="Times New Roman"/>
          <w:bCs/>
          <w:lang w:val="en-GB" w:bidi="ar-SA"/>
        </w:rPr>
        <w:t xml:space="preserve"> in particular</w:t>
      </w:r>
      <w:r w:rsidRPr="00984AEB">
        <w:rPr>
          <w:rFonts w:cs="Times New Roman"/>
          <w:bCs/>
          <w:lang w:val="en-GB" w:bidi="ar-SA"/>
        </w:rPr>
        <w:t xml:space="preserve">. </w:t>
      </w:r>
      <w:r w:rsidR="00F36F3A">
        <w:rPr>
          <w:rFonts w:cs="Times New Roman"/>
          <w:bCs/>
          <w:lang w:val="en-GB" w:bidi="ar-SA"/>
        </w:rPr>
        <w:t>A</w:t>
      </w:r>
      <w:r w:rsidRPr="00984AEB">
        <w:rPr>
          <w:rFonts w:cs="Times New Roman"/>
          <w:bCs/>
          <w:lang w:val="en-GB" w:bidi="ar-SA"/>
        </w:rPr>
        <w:t xml:space="preserve">s the cumulative earnings on exports </w:t>
      </w:r>
      <w:r w:rsidR="00F36F3A">
        <w:rPr>
          <w:rFonts w:cs="Times New Roman"/>
          <w:bCs/>
          <w:lang w:val="en-GB" w:bidi="ar-SA"/>
        </w:rPr>
        <w:t>out</w:t>
      </w:r>
      <w:r w:rsidRPr="00984AEB">
        <w:rPr>
          <w:rFonts w:cs="Times New Roman"/>
          <w:bCs/>
          <w:lang w:val="en-GB" w:bidi="ar-SA"/>
        </w:rPr>
        <w:t>weighed the cumulative expenditure on imports, the trade deficit during the first nine months of 2014 narrowed</w:t>
      </w:r>
      <w:r w:rsidR="002951CA">
        <w:rPr>
          <w:rFonts w:cs="Times New Roman"/>
          <w:bCs/>
          <w:lang w:val="en-GB" w:bidi="ar-SA"/>
        </w:rPr>
        <w:t>,</w:t>
      </w:r>
      <w:r w:rsidRPr="00984AEB">
        <w:rPr>
          <w:rFonts w:cs="Times New Roman"/>
          <w:bCs/>
          <w:lang w:val="en-GB" w:bidi="ar-SA"/>
        </w:rPr>
        <w:t xml:space="preserve"> </w:t>
      </w:r>
      <w:r>
        <w:rPr>
          <w:rFonts w:cs="Times New Roman"/>
          <w:bCs/>
          <w:lang w:val="en-GB" w:bidi="ar-SA"/>
        </w:rPr>
        <w:t xml:space="preserve">while tourist earnings and workers’ remittances continued to </w:t>
      </w:r>
      <w:r w:rsidR="00F36F3A">
        <w:rPr>
          <w:rFonts w:cs="Times New Roman"/>
          <w:bCs/>
          <w:lang w:val="en-GB" w:bidi="ar-SA"/>
        </w:rPr>
        <w:t>be</w:t>
      </w:r>
      <w:r>
        <w:rPr>
          <w:rFonts w:cs="Times New Roman"/>
          <w:bCs/>
          <w:lang w:val="en-GB" w:bidi="ar-SA"/>
        </w:rPr>
        <w:t xml:space="preserve"> stable </w:t>
      </w:r>
      <w:r w:rsidR="002951CA">
        <w:rPr>
          <w:rFonts w:cs="Times New Roman"/>
          <w:bCs/>
          <w:lang w:val="en-GB" w:bidi="ar-SA"/>
        </w:rPr>
        <w:t xml:space="preserve">sources of </w:t>
      </w:r>
      <w:r>
        <w:rPr>
          <w:rFonts w:cs="Times New Roman"/>
          <w:bCs/>
          <w:lang w:val="en-GB" w:bidi="ar-SA"/>
        </w:rPr>
        <w:t xml:space="preserve">inflows </w:t>
      </w:r>
      <w:r w:rsidR="002670A6">
        <w:rPr>
          <w:rFonts w:cs="Times New Roman"/>
          <w:bCs/>
          <w:lang w:val="en-GB" w:bidi="ar-SA"/>
        </w:rPr>
        <w:t>improving</w:t>
      </w:r>
      <w:r w:rsidR="002670A6" w:rsidRPr="00984AEB">
        <w:rPr>
          <w:rFonts w:cs="Times New Roman"/>
          <w:bCs/>
          <w:lang w:val="en-GB" w:bidi="ar-SA"/>
        </w:rPr>
        <w:t xml:space="preserve"> the current account of the Balance of Payments</w:t>
      </w:r>
      <w:r w:rsidR="002670A6">
        <w:rPr>
          <w:rFonts w:cs="Times New Roman"/>
          <w:bCs/>
          <w:lang w:val="en-GB" w:bidi="ar-SA"/>
        </w:rPr>
        <w:t xml:space="preserve"> (BOP)</w:t>
      </w:r>
      <w:r w:rsidR="00D475F1">
        <w:rPr>
          <w:rFonts w:cs="Times New Roman"/>
          <w:bCs/>
          <w:lang w:val="en-GB" w:bidi="ar-SA"/>
        </w:rPr>
        <w:t xml:space="preserve">. </w:t>
      </w:r>
      <w:r w:rsidRPr="00631AB8">
        <w:rPr>
          <w:rFonts w:cs="Times New Roman"/>
          <w:bCs/>
          <w:lang w:val="en-GB" w:bidi="ar-SA"/>
        </w:rPr>
        <w:t xml:space="preserve">Inflows to the financial account </w:t>
      </w:r>
      <w:r>
        <w:rPr>
          <w:rFonts w:cs="Times New Roman"/>
          <w:bCs/>
          <w:lang w:val="en-GB" w:bidi="ar-SA"/>
        </w:rPr>
        <w:t>in the form of project loans</w:t>
      </w:r>
      <w:r w:rsidR="00F36F3A">
        <w:rPr>
          <w:rFonts w:cs="Times New Roman"/>
          <w:bCs/>
          <w:lang w:val="en-GB" w:bidi="ar-SA"/>
        </w:rPr>
        <w:t xml:space="preserve"> to the government</w:t>
      </w:r>
      <w:r>
        <w:rPr>
          <w:rFonts w:cs="Times New Roman"/>
          <w:bCs/>
          <w:lang w:val="en-GB" w:bidi="ar-SA"/>
        </w:rPr>
        <w:t xml:space="preserve"> and inflows to the banking sector </w:t>
      </w:r>
      <w:r w:rsidRPr="00631AB8">
        <w:rPr>
          <w:rFonts w:cs="Times New Roman"/>
          <w:bCs/>
          <w:lang w:val="en-GB" w:bidi="ar-SA"/>
        </w:rPr>
        <w:t xml:space="preserve">continued </w:t>
      </w:r>
      <w:r>
        <w:rPr>
          <w:rFonts w:cs="Times New Roman"/>
          <w:bCs/>
          <w:lang w:val="en-GB" w:bidi="ar-SA"/>
        </w:rPr>
        <w:t>to strengthen the BOP</w:t>
      </w:r>
      <w:r w:rsidR="00F36F3A">
        <w:rPr>
          <w:rFonts w:cs="Times New Roman"/>
          <w:bCs/>
          <w:lang w:val="en-GB" w:bidi="ar-SA"/>
        </w:rPr>
        <w:t xml:space="preserve"> resulting in a healthy surplus in the overall BOP during the first nine months of 2014</w:t>
      </w:r>
      <w:r>
        <w:rPr>
          <w:rFonts w:cs="Times New Roman"/>
          <w:bCs/>
          <w:lang w:val="en-GB" w:bidi="ar-SA"/>
        </w:rPr>
        <w:t>, despite some volatility in the governmen</w:t>
      </w:r>
      <w:r w:rsidR="00F36F3A">
        <w:rPr>
          <w:rFonts w:cs="Times New Roman"/>
          <w:bCs/>
          <w:lang w:val="en-GB" w:bidi="ar-SA"/>
        </w:rPr>
        <w:t>t securities and equity markets</w:t>
      </w:r>
      <w:r>
        <w:rPr>
          <w:rFonts w:cs="Times New Roman"/>
          <w:bCs/>
          <w:lang w:val="en-GB" w:bidi="ar-SA"/>
        </w:rPr>
        <w:t xml:space="preserve">.  </w:t>
      </w:r>
    </w:p>
    <w:p w:rsidR="001D6ED3" w:rsidRDefault="001D6ED3" w:rsidP="001D6ED3">
      <w:pPr>
        <w:pStyle w:val="Default"/>
        <w:spacing w:after="120" w:line="360" w:lineRule="auto"/>
        <w:jc w:val="both"/>
        <w:rPr>
          <w:rFonts w:cs="Times New Roman"/>
          <w:b/>
          <w:lang w:val="en-GB" w:bidi="ar-SA"/>
        </w:rPr>
      </w:pPr>
      <w:r w:rsidRPr="00AF0463">
        <w:rPr>
          <w:rFonts w:cs="Times New Roman"/>
          <w:b/>
          <w:lang w:val="en-GB" w:bidi="ar-SA"/>
        </w:rPr>
        <w:t>Export Performance</w:t>
      </w:r>
    </w:p>
    <w:p w:rsidR="00D661F4" w:rsidRDefault="00BB61D2" w:rsidP="001D6ED3">
      <w:pPr>
        <w:pStyle w:val="Default"/>
        <w:spacing w:after="120" w:line="360" w:lineRule="auto"/>
        <w:jc w:val="both"/>
        <w:rPr>
          <w:rFonts w:cs="Times New Roman"/>
          <w:color w:val="auto"/>
          <w:lang w:val="en-GB" w:bidi="ar-SA"/>
        </w:rPr>
      </w:pPr>
      <w:r w:rsidRPr="00960E76">
        <w:rPr>
          <w:rFonts w:cs="Times New Roman"/>
          <w:b/>
          <w:bCs/>
          <w:lang w:val="en-GB" w:bidi="ar-SA"/>
        </w:rPr>
        <w:t>Earnings from exports increase</w:t>
      </w:r>
      <w:r w:rsidR="00F36F3A">
        <w:rPr>
          <w:rFonts w:cs="Times New Roman"/>
          <w:b/>
          <w:bCs/>
          <w:lang w:val="en-GB" w:bidi="ar-SA"/>
        </w:rPr>
        <w:t>d by</w:t>
      </w:r>
      <w:r w:rsidRPr="00960E76">
        <w:rPr>
          <w:rFonts w:cs="Times New Roman"/>
          <w:b/>
          <w:bCs/>
          <w:lang w:val="en-GB" w:bidi="ar-SA"/>
        </w:rPr>
        <w:t xml:space="preserve"> </w:t>
      </w:r>
      <w:r w:rsidR="00F36F3A">
        <w:rPr>
          <w:rFonts w:cs="Times New Roman"/>
          <w:b/>
          <w:bCs/>
          <w:lang w:val="en-GB" w:bidi="ar-SA"/>
        </w:rPr>
        <w:t>0.5</w:t>
      </w:r>
      <w:r w:rsidR="00F36F3A" w:rsidRPr="00960E76">
        <w:rPr>
          <w:rFonts w:cs="Times New Roman"/>
          <w:b/>
          <w:bCs/>
          <w:lang w:val="en-GB" w:bidi="ar-SA"/>
        </w:rPr>
        <w:t xml:space="preserve"> per cent,</w:t>
      </w:r>
      <w:r w:rsidR="00F36F3A">
        <w:rPr>
          <w:rFonts w:cs="Times New Roman"/>
          <w:b/>
          <w:bCs/>
          <w:lang w:val="en-GB" w:bidi="ar-SA"/>
        </w:rPr>
        <w:t xml:space="preserve"> </w:t>
      </w:r>
      <w:r w:rsidR="00F36F3A" w:rsidRPr="00960E76">
        <w:rPr>
          <w:rFonts w:cs="Times New Roman"/>
          <w:b/>
          <w:bCs/>
          <w:lang w:val="en-GB" w:bidi="ar-SA"/>
        </w:rPr>
        <w:t>year-on-year,</w:t>
      </w:r>
      <w:r w:rsidR="00F36F3A">
        <w:rPr>
          <w:rFonts w:cs="Times New Roman"/>
          <w:b/>
          <w:bCs/>
          <w:lang w:val="en-GB" w:bidi="ar-SA"/>
        </w:rPr>
        <w:t xml:space="preserve"> </w:t>
      </w:r>
      <w:r w:rsidR="00C031C0">
        <w:rPr>
          <w:rFonts w:cs="Times New Roman"/>
          <w:b/>
          <w:bCs/>
          <w:lang w:val="en-GB" w:bidi="ar-SA"/>
        </w:rPr>
        <w:t xml:space="preserve">in </w:t>
      </w:r>
      <w:r w:rsidR="003109A3">
        <w:rPr>
          <w:rFonts w:cs="Times New Roman"/>
          <w:b/>
          <w:bCs/>
          <w:lang w:val="en-GB" w:bidi="ar-SA"/>
        </w:rPr>
        <w:t>September</w:t>
      </w:r>
      <w:r w:rsidRPr="00960E76">
        <w:rPr>
          <w:rFonts w:cs="Times New Roman"/>
          <w:b/>
          <w:bCs/>
          <w:lang w:val="en-GB" w:bidi="ar-SA"/>
        </w:rPr>
        <w:t xml:space="preserve"> 2014</w:t>
      </w:r>
      <w:r w:rsidR="00D661F4">
        <w:rPr>
          <w:rFonts w:cs="Times New Roman"/>
          <w:b/>
          <w:bCs/>
          <w:lang w:val="en-GB" w:bidi="ar-SA"/>
        </w:rPr>
        <w:t xml:space="preserve"> </w:t>
      </w:r>
      <w:r w:rsidRPr="00960E76">
        <w:rPr>
          <w:rFonts w:cs="Times New Roman"/>
          <w:b/>
          <w:bCs/>
          <w:lang w:val="en-GB" w:bidi="ar-SA"/>
        </w:rPr>
        <w:t xml:space="preserve">to US dollars </w:t>
      </w:r>
      <w:r w:rsidR="002701E6">
        <w:rPr>
          <w:rFonts w:cs="Times New Roman"/>
          <w:b/>
          <w:bCs/>
          <w:lang w:val="en-GB" w:bidi="ar-SA"/>
        </w:rPr>
        <w:t xml:space="preserve">903 </w:t>
      </w:r>
      <w:r w:rsidRPr="00960E76">
        <w:rPr>
          <w:rFonts w:cs="Times New Roman"/>
          <w:b/>
          <w:bCs/>
          <w:lang w:val="en-GB" w:bidi="ar-SA"/>
        </w:rPr>
        <w:t>million</w:t>
      </w:r>
      <w:r w:rsidR="00960E76" w:rsidRPr="00960E76">
        <w:rPr>
          <w:rFonts w:cs="Times New Roman"/>
          <w:b/>
          <w:bCs/>
          <w:lang w:val="en-GB" w:bidi="ar-SA"/>
        </w:rPr>
        <w:t xml:space="preserve"> while the cumulative </w:t>
      </w:r>
      <w:r w:rsidR="00960E76" w:rsidRPr="00960E76">
        <w:rPr>
          <w:rFonts w:cs="Times New Roman"/>
          <w:b/>
          <w:bCs/>
          <w:lang w:val="en-GB"/>
        </w:rPr>
        <w:t xml:space="preserve">earnings </w:t>
      </w:r>
      <w:r w:rsidR="002670A6">
        <w:rPr>
          <w:rFonts w:cs="Times New Roman"/>
          <w:b/>
          <w:bCs/>
          <w:lang w:val="en-GB"/>
        </w:rPr>
        <w:t>increased</w:t>
      </w:r>
      <w:r w:rsidR="00960E76" w:rsidRPr="00960E76">
        <w:rPr>
          <w:rFonts w:cs="Times New Roman"/>
          <w:b/>
          <w:bCs/>
          <w:lang w:val="en-GB"/>
        </w:rPr>
        <w:t xml:space="preserve"> by </w:t>
      </w:r>
      <w:r w:rsidR="002701E6">
        <w:rPr>
          <w:rFonts w:cs="Times New Roman"/>
          <w:b/>
          <w:bCs/>
          <w:lang w:val="en-GB"/>
        </w:rPr>
        <w:t>13.0</w:t>
      </w:r>
      <w:r w:rsidR="00960E76" w:rsidRPr="00960E76">
        <w:rPr>
          <w:rFonts w:cs="Times New Roman"/>
          <w:b/>
          <w:bCs/>
          <w:lang w:val="en-GB"/>
        </w:rPr>
        <w:t xml:space="preserve"> per cent to US dollars </w:t>
      </w:r>
      <w:r w:rsidR="002701E6">
        <w:rPr>
          <w:rFonts w:cs="Times New Roman"/>
          <w:b/>
          <w:bCs/>
          <w:lang w:val="en-GB"/>
        </w:rPr>
        <w:t>8,288</w:t>
      </w:r>
      <w:r w:rsidR="00960E76" w:rsidRPr="00960E76">
        <w:rPr>
          <w:rFonts w:cs="Times New Roman"/>
          <w:b/>
          <w:bCs/>
          <w:lang w:val="en-GB"/>
        </w:rPr>
        <w:t xml:space="preserve"> million during the first </w:t>
      </w:r>
      <w:r w:rsidR="002701E6">
        <w:rPr>
          <w:rFonts w:cs="Times New Roman"/>
          <w:b/>
          <w:bCs/>
          <w:lang w:val="en-GB"/>
        </w:rPr>
        <w:t>nine</w:t>
      </w:r>
      <w:r w:rsidR="00960E76" w:rsidRPr="00960E76">
        <w:rPr>
          <w:rFonts w:cs="Times New Roman"/>
          <w:b/>
          <w:bCs/>
          <w:lang w:val="en-GB"/>
        </w:rPr>
        <w:t xml:space="preserve"> months of 2014. </w:t>
      </w:r>
      <w:r w:rsidR="00D661F4" w:rsidRPr="00D661F4">
        <w:rPr>
          <w:rFonts w:cs="Times New Roman"/>
          <w:lang w:val="en-GB"/>
        </w:rPr>
        <w:t>The l</w:t>
      </w:r>
      <w:r w:rsidR="00D661F4">
        <w:rPr>
          <w:rFonts w:cs="Times New Roman"/>
          <w:lang w:val="en-GB"/>
        </w:rPr>
        <w:t xml:space="preserve">argest </w:t>
      </w:r>
      <w:r w:rsidR="00960E76">
        <w:rPr>
          <w:rFonts w:cs="Times New Roman"/>
          <w:lang w:val="en-GB"/>
        </w:rPr>
        <w:t>contribut</w:t>
      </w:r>
      <w:r w:rsidR="00D661F4">
        <w:rPr>
          <w:rFonts w:cs="Times New Roman"/>
          <w:lang w:val="en-GB"/>
        </w:rPr>
        <w:t>ion</w:t>
      </w:r>
      <w:r w:rsidR="00960E76">
        <w:rPr>
          <w:rFonts w:cs="Times New Roman"/>
          <w:lang w:val="en-GB"/>
        </w:rPr>
        <w:t xml:space="preserve"> to th</w:t>
      </w:r>
      <w:r w:rsidR="006D5019">
        <w:rPr>
          <w:rFonts w:cs="Times New Roman"/>
          <w:lang w:val="en-GB"/>
        </w:rPr>
        <w:t xml:space="preserve">e export growth in </w:t>
      </w:r>
      <w:r w:rsidR="002701E6">
        <w:rPr>
          <w:rFonts w:cs="Times New Roman"/>
          <w:lang w:val="en-GB"/>
        </w:rPr>
        <w:t xml:space="preserve">September </w:t>
      </w:r>
      <w:r w:rsidR="006D5019">
        <w:rPr>
          <w:rFonts w:cs="Times New Roman"/>
          <w:lang w:val="en-GB"/>
        </w:rPr>
        <w:t xml:space="preserve">2014 </w:t>
      </w:r>
      <w:r w:rsidR="00D661F4">
        <w:rPr>
          <w:rFonts w:cs="Times New Roman"/>
          <w:lang w:val="en-GB"/>
        </w:rPr>
        <w:t>was from</w:t>
      </w:r>
      <w:r w:rsidR="00960E76">
        <w:rPr>
          <w:rFonts w:cs="Times New Roman"/>
          <w:lang w:val="en-GB"/>
        </w:rPr>
        <w:t xml:space="preserve"> </w:t>
      </w:r>
      <w:r w:rsidR="003363F3" w:rsidRPr="00960E76">
        <w:rPr>
          <w:rFonts w:cs="Times New Roman"/>
          <w:lang w:val="en-GB" w:bidi="ar-SA"/>
        </w:rPr>
        <w:t>textiles and garments</w:t>
      </w:r>
      <w:r w:rsidR="00D661F4">
        <w:rPr>
          <w:rFonts w:cs="Times New Roman"/>
          <w:lang w:val="en-GB" w:bidi="ar-SA"/>
        </w:rPr>
        <w:t xml:space="preserve"> followed by</w:t>
      </w:r>
      <w:r w:rsidR="00960E76">
        <w:rPr>
          <w:rFonts w:cs="Times New Roman"/>
          <w:lang w:val="en-GB" w:bidi="ar-SA"/>
        </w:rPr>
        <w:t xml:space="preserve"> </w:t>
      </w:r>
      <w:r w:rsidRPr="00960E76">
        <w:rPr>
          <w:rFonts w:cs="Times New Roman"/>
          <w:lang w:val="en-GB" w:bidi="ar-SA"/>
        </w:rPr>
        <w:t xml:space="preserve">coconut </w:t>
      </w:r>
      <w:r w:rsidR="002701E6">
        <w:rPr>
          <w:rFonts w:cs="Times New Roman"/>
          <w:lang w:val="en-GB" w:bidi="ar-SA"/>
        </w:rPr>
        <w:t xml:space="preserve">and </w:t>
      </w:r>
      <w:r w:rsidR="00D661F4">
        <w:rPr>
          <w:rFonts w:cs="Times New Roman"/>
          <w:lang w:val="en-GB" w:bidi="ar-SA"/>
        </w:rPr>
        <w:t xml:space="preserve">printing industry </w:t>
      </w:r>
      <w:r w:rsidR="002701E6">
        <w:rPr>
          <w:rFonts w:cs="Times New Roman"/>
          <w:lang w:val="en-GB" w:bidi="ar-SA"/>
        </w:rPr>
        <w:t>products</w:t>
      </w:r>
      <w:r w:rsidRPr="00960E76">
        <w:rPr>
          <w:rFonts w:cs="Times New Roman"/>
          <w:lang w:val="en-GB" w:bidi="ar-SA"/>
        </w:rPr>
        <w:t>.</w:t>
      </w:r>
      <w:r>
        <w:rPr>
          <w:rFonts w:cs="Times New Roman"/>
          <w:b/>
          <w:bCs/>
          <w:lang w:val="en-GB" w:bidi="ar-SA"/>
        </w:rPr>
        <w:t xml:space="preserve">  </w:t>
      </w:r>
      <w:r w:rsidR="00D661F4">
        <w:rPr>
          <w:rFonts w:cs="Times New Roman"/>
          <w:lang w:val="en-GB" w:bidi="ar-SA"/>
        </w:rPr>
        <w:t xml:space="preserve">Export earnings </w:t>
      </w:r>
      <w:r w:rsidR="00E75248">
        <w:rPr>
          <w:rFonts w:cs="Times New Roman"/>
          <w:lang w:val="en-GB" w:bidi="ar-SA"/>
        </w:rPr>
        <w:t>of</w:t>
      </w:r>
      <w:r w:rsidR="00D661F4">
        <w:rPr>
          <w:rFonts w:cs="Times New Roman"/>
          <w:lang w:val="en-GB" w:bidi="ar-SA"/>
        </w:rPr>
        <w:t xml:space="preserve"> </w:t>
      </w:r>
      <w:r w:rsidRPr="00BB61D2">
        <w:rPr>
          <w:rFonts w:cs="Times New Roman"/>
          <w:lang w:val="en-GB" w:bidi="ar-SA"/>
        </w:rPr>
        <w:t>t</w:t>
      </w:r>
      <w:r w:rsidR="001D6ED3" w:rsidRPr="00BB61D2">
        <w:rPr>
          <w:rFonts w:cs="Times New Roman"/>
          <w:color w:val="auto"/>
          <w:lang w:val="en-GB" w:bidi="ar-SA"/>
        </w:rPr>
        <w:t>extile</w:t>
      </w:r>
      <w:r>
        <w:rPr>
          <w:rFonts w:cs="Times New Roman"/>
          <w:color w:val="auto"/>
          <w:lang w:val="en-GB" w:bidi="ar-SA"/>
        </w:rPr>
        <w:t>s</w:t>
      </w:r>
      <w:r w:rsidR="001D6ED3">
        <w:rPr>
          <w:rFonts w:cs="Times New Roman"/>
          <w:color w:val="auto"/>
          <w:lang w:val="en-GB" w:bidi="ar-SA"/>
        </w:rPr>
        <w:t xml:space="preserve"> and </w:t>
      </w:r>
      <w:r w:rsidR="001D6ED3">
        <w:rPr>
          <w:rFonts w:cs="Times New Roman"/>
          <w:color w:val="auto"/>
          <w:lang w:val="en-GB" w:bidi="ar-SA"/>
        </w:rPr>
        <w:lastRenderedPageBreak/>
        <w:t>garment</w:t>
      </w:r>
      <w:r>
        <w:rPr>
          <w:rFonts w:cs="Times New Roman"/>
          <w:color w:val="auto"/>
          <w:lang w:val="en-GB" w:bidi="ar-SA"/>
        </w:rPr>
        <w:t>s</w:t>
      </w:r>
      <w:r w:rsidR="001D6ED3">
        <w:rPr>
          <w:rFonts w:cs="Times New Roman"/>
          <w:color w:val="auto"/>
          <w:lang w:val="en-GB" w:bidi="ar-SA"/>
        </w:rPr>
        <w:t xml:space="preserve"> grew </w:t>
      </w:r>
      <w:r w:rsidR="00D661F4">
        <w:rPr>
          <w:rFonts w:cs="Times New Roman"/>
          <w:color w:val="auto"/>
          <w:lang w:val="en-GB" w:bidi="ar-SA"/>
        </w:rPr>
        <w:t>by</w:t>
      </w:r>
      <w:r w:rsidR="001D6ED3">
        <w:rPr>
          <w:rFonts w:cs="Times New Roman"/>
          <w:color w:val="auto"/>
          <w:lang w:val="en-GB" w:bidi="ar-SA"/>
        </w:rPr>
        <w:t xml:space="preserve"> </w:t>
      </w:r>
      <w:r w:rsidR="00F13049">
        <w:rPr>
          <w:rFonts w:cs="Times New Roman"/>
          <w:color w:val="auto"/>
          <w:lang w:val="en-GB" w:bidi="ar-SA"/>
        </w:rPr>
        <w:t>4.4 per cent</w:t>
      </w:r>
      <w:r w:rsidR="001D6ED3">
        <w:rPr>
          <w:rFonts w:cs="Times New Roman"/>
          <w:color w:val="auto"/>
          <w:lang w:val="en-GB" w:bidi="ar-SA"/>
        </w:rPr>
        <w:t xml:space="preserve"> </w:t>
      </w:r>
      <w:r w:rsidR="003363F3">
        <w:rPr>
          <w:rFonts w:cs="Times New Roman"/>
          <w:color w:val="auto"/>
          <w:lang w:val="en-GB" w:bidi="ar-SA"/>
        </w:rPr>
        <w:t xml:space="preserve">in </w:t>
      </w:r>
      <w:r w:rsidR="00F13049">
        <w:rPr>
          <w:rFonts w:cs="Times New Roman"/>
          <w:color w:val="auto"/>
          <w:lang w:val="en-GB" w:bidi="ar-SA"/>
        </w:rPr>
        <w:t>September</w:t>
      </w:r>
      <w:r w:rsidR="003363F3">
        <w:rPr>
          <w:rFonts w:cs="Times New Roman"/>
          <w:color w:val="auto"/>
          <w:lang w:val="en-GB" w:bidi="ar-SA"/>
        </w:rPr>
        <w:t xml:space="preserve"> 2014</w:t>
      </w:r>
      <w:r>
        <w:rPr>
          <w:rFonts w:cs="Times New Roman"/>
          <w:color w:val="auto"/>
          <w:lang w:val="en-GB" w:bidi="ar-SA"/>
        </w:rPr>
        <w:t xml:space="preserve"> </w:t>
      </w:r>
      <w:r w:rsidR="00960E76">
        <w:rPr>
          <w:rFonts w:cs="Times New Roman"/>
          <w:color w:val="auto"/>
          <w:lang w:val="en-GB" w:bidi="ar-SA"/>
        </w:rPr>
        <w:t>supported by a</w:t>
      </w:r>
      <w:r w:rsidR="00512B68">
        <w:rPr>
          <w:rFonts w:cs="Times New Roman"/>
          <w:color w:val="auto"/>
          <w:lang w:val="en-GB" w:bidi="ar-SA"/>
        </w:rPr>
        <w:t xml:space="preserve"> </w:t>
      </w:r>
      <w:r>
        <w:rPr>
          <w:rFonts w:cs="Times New Roman"/>
          <w:color w:val="auto"/>
          <w:lang w:val="en-GB" w:bidi="ar-SA"/>
        </w:rPr>
        <w:t>substantial improvement in</w:t>
      </w:r>
      <w:r w:rsidR="00D661F4">
        <w:rPr>
          <w:rFonts w:cs="Times New Roman"/>
          <w:color w:val="auto"/>
          <w:lang w:val="en-GB" w:bidi="ar-SA"/>
        </w:rPr>
        <w:t xml:space="preserve"> exports of</w:t>
      </w:r>
      <w:r>
        <w:rPr>
          <w:rFonts w:cs="Times New Roman"/>
          <w:color w:val="auto"/>
          <w:lang w:val="en-GB" w:bidi="ar-SA"/>
        </w:rPr>
        <w:t xml:space="preserve"> </w:t>
      </w:r>
      <w:r w:rsidR="00F5399D">
        <w:rPr>
          <w:rFonts w:cs="Times New Roman"/>
          <w:color w:val="auto"/>
          <w:lang w:val="en-GB" w:bidi="ar-SA"/>
        </w:rPr>
        <w:t>outerwear</w:t>
      </w:r>
      <w:r w:rsidR="003363F3">
        <w:rPr>
          <w:rFonts w:cs="Times New Roman"/>
          <w:color w:val="auto"/>
          <w:lang w:val="en-GB" w:bidi="ar-SA"/>
        </w:rPr>
        <w:t>.</w:t>
      </w:r>
      <w:r w:rsidR="0024528F">
        <w:rPr>
          <w:rFonts w:cs="Times New Roman"/>
          <w:color w:val="auto"/>
          <w:lang w:val="en-GB" w:bidi="ar-SA"/>
        </w:rPr>
        <w:t xml:space="preserve"> </w:t>
      </w:r>
      <w:r w:rsidR="00960E76">
        <w:rPr>
          <w:rFonts w:cs="Times New Roman"/>
          <w:color w:val="auto"/>
          <w:lang w:val="en-GB" w:bidi="ar-SA"/>
        </w:rPr>
        <w:t xml:space="preserve">Further, the </w:t>
      </w:r>
      <w:r w:rsidR="00323962">
        <w:rPr>
          <w:rFonts w:cs="Times New Roman"/>
          <w:color w:val="auto"/>
          <w:lang w:val="en-GB" w:bidi="ar-SA"/>
        </w:rPr>
        <w:t xml:space="preserve">increase of earnings </w:t>
      </w:r>
      <w:r w:rsidR="00E75248">
        <w:rPr>
          <w:rFonts w:cs="Times New Roman"/>
          <w:color w:val="auto"/>
          <w:lang w:val="en-GB" w:bidi="ar-SA"/>
        </w:rPr>
        <w:t>of</w:t>
      </w:r>
      <w:r w:rsidR="00323962">
        <w:rPr>
          <w:rFonts w:cs="Times New Roman"/>
          <w:color w:val="auto"/>
          <w:lang w:val="en-GB" w:bidi="ar-SA"/>
        </w:rPr>
        <w:t xml:space="preserve"> coconut exports was</w:t>
      </w:r>
      <w:r w:rsidR="00960E76">
        <w:rPr>
          <w:rFonts w:cs="Times New Roman"/>
          <w:color w:val="auto"/>
          <w:lang w:val="en-GB" w:bidi="ar-SA"/>
        </w:rPr>
        <w:t xml:space="preserve"> mainly</w:t>
      </w:r>
      <w:r w:rsidR="005C002A">
        <w:rPr>
          <w:rFonts w:cs="Times New Roman"/>
          <w:color w:val="auto"/>
          <w:lang w:val="en-GB" w:bidi="ar-SA"/>
        </w:rPr>
        <w:t xml:space="preserve"> led by </w:t>
      </w:r>
      <w:r w:rsidR="00960E76">
        <w:rPr>
          <w:rFonts w:cs="Times New Roman"/>
          <w:color w:val="auto"/>
          <w:lang w:val="en-GB" w:bidi="ar-SA"/>
        </w:rPr>
        <w:t xml:space="preserve">the significant increase in </w:t>
      </w:r>
      <w:r w:rsidR="00D661F4">
        <w:rPr>
          <w:rFonts w:cs="Times New Roman"/>
          <w:color w:val="auto"/>
          <w:lang w:val="en-GB" w:bidi="ar-SA"/>
        </w:rPr>
        <w:t>kernel product exports</w:t>
      </w:r>
      <w:r w:rsidR="002951CA">
        <w:rPr>
          <w:rFonts w:cs="Times New Roman"/>
          <w:color w:val="auto"/>
          <w:lang w:val="en-GB" w:bidi="ar-SA"/>
        </w:rPr>
        <w:t xml:space="preserve">. </w:t>
      </w:r>
      <w:r w:rsidR="001D6ED3" w:rsidRPr="00DA142B">
        <w:rPr>
          <w:rFonts w:cs="Times New Roman"/>
          <w:color w:val="auto"/>
          <w:lang w:val="en-GB" w:bidi="ar-SA"/>
        </w:rPr>
        <w:t>However,</w:t>
      </w:r>
      <w:r w:rsidR="00D661F4">
        <w:rPr>
          <w:rFonts w:cs="Times New Roman"/>
          <w:color w:val="auto"/>
          <w:lang w:val="en-GB" w:bidi="ar-SA"/>
        </w:rPr>
        <w:t xml:space="preserve"> some major</w:t>
      </w:r>
      <w:r w:rsidR="001D6ED3" w:rsidRPr="00DA142B">
        <w:rPr>
          <w:rFonts w:cs="Times New Roman"/>
          <w:color w:val="auto"/>
          <w:lang w:val="en-GB" w:bidi="ar-SA"/>
        </w:rPr>
        <w:t xml:space="preserve"> </w:t>
      </w:r>
      <w:r w:rsidR="00531CFD">
        <w:rPr>
          <w:rFonts w:cs="Times New Roman"/>
          <w:color w:val="auto"/>
          <w:lang w:val="en-GB" w:bidi="ar-SA"/>
        </w:rPr>
        <w:t>export</w:t>
      </w:r>
      <w:r w:rsidR="00960E76">
        <w:rPr>
          <w:rFonts w:cs="Times New Roman"/>
          <w:color w:val="auto"/>
          <w:lang w:val="en-GB" w:bidi="ar-SA"/>
        </w:rPr>
        <w:t>s</w:t>
      </w:r>
      <w:r w:rsidR="00531CFD">
        <w:rPr>
          <w:rFonts w:cs="Times New Roman"/>
          <w:color w:val="auto"/>
          <w:lang w:val="en-GB" w:bidi="ar-SA"/>
        </w:rPr>
        <w:t xml:space="preserve"> </w:t>
      </w:r>
      <w:r w:rsidR="00D661F4">
        <w:rPr>
          <w:rFonts w:cs="Times New Roman"/>
          <w:color w:val="auto"/>
          <w:lang w:val="en-GB" w:bidi="ar-SA"/>
        </w:rPr>
        <w:t>such as tea,</w:t>
      </w:r>
      <w:r w:rsidR="00531CFD">
        <w:rPr>
          <w:rFonts w:cs="Times New Roman"/>
          <w:color w:val="auto"/>
          <w:lang w:val="en-GB" w:bidi="ar-SA"/>
        </w:rPr>
        <w:t xml:space="preserve"> </w:t>
      </w:r>
      <w:r w:rsidR="004B2EED">
        <w:rPr>
          <w:rFonts w:cs="Times New Roman"/>
          <w:color w:val="auto"/>
          <w:lang w:val="en-GB" w:bidi="ar-SA"/>
        </w:rPr>
        <w:t xml:space="preserve">spices, precious metals </w:t>
      </w:r>
      <w:r w:rsidR="00D661F4">
        <w:rPr>
          <w:rFonts w:cs="Times New Roman"/>
          <w:color w:val="auto"/>
          <w:lang w:val="en-GB" w:bidi="ar-SA"/>
        </w:rPr>
        <w:t xml:space="preserve">and gem and diamonds </w:t>
      </w:r>
      <w:r w:rsidR="001D6ED3" w:rsidRPr="00DA142B">
        <w:rPr>
          <w:rFonts w:cs="Times New Roman"/>
          <w:color w:val="auto"/>
          <w:lang w:val="en-GB" w:bidi="ar-SA"/>
        </w:rPr>
        <w:t>decline</w:t>
      </w:r>
      <w:r w:rsidR="004B2EED">
        <w:rPr>
          <w:rFonts w:cs="Times New Roman"/>
          <w:color w:val="auto"/>
          <w:lang w:val="en-GB" w:bidi="ar-SA"/>
        </w:rPr>
        <w:t>d durin</w:t>
      </w:r>
      <w:r w:rsidR="00D661F4">
        <w:rPr>
          <w:rFonts w:cs="Times New Roman"/>
          <w:color w:val="auto"/>
          <w:lang w:val="en-GB" w:bidi="ar-SA"/>
        </w:rPr>
        <w:t>g the month under consideration</w:t>
      </w:r>
      <w:r w:rsidR="00F65680">
        <w:rPr>
          <w:rFonts w:cs="Times New Roman"/>
          <w:color w:val="auto"/>
          <w:lang w:val="en-GB" w:bidi="ar-SA"/>
        </w:rPr>
        <w:t>,</w:t>
      </w:r>
      <w:r w:rsidR="009537E1" w:rsidRPr="009537E1">
        <w:rPr>
          <w:rFonts w:cs="Times New Roman"/>
          <w:color w:val="auto"/>
          <w:lang w:val="en-GB" w:bidi="ar-SA"/>
        </w:rPr>
        <w:t xml:space="preserve"> </w:t>
      </w:r>
      <w:r w:rsidR="009537E1">
        <w:rPr>
          <w:rFonts w:cs="Times New Roman"/>
          <w:color w:val="auto"/>
          <w:lang w:val="en-GB" w:bidi="ar-SA"/>
        </w:rPr>
        <w:t>on year-on-year basis</w:t>
      </w:r>
      <w:r w:rsidR="00D661F4">
        <w:rPr>
          <w:rFonts w:cs="Times New Roman"/>
          <w:color w:val="auto"/>
          <w:lang w:val="en-GB" w:bidi="ar-SA"/>
        </w:rPr>
        <w:t xml:space="preserve">, mainly due to the higher exports recorded in September 2013. Further, </w:t>
      </w:r>
      <w:r w:rsidR="00B61422">
        <w:rPr>
          <w:rFonts w:cs="Times New Roman"/>
          <w:color w:val="auto"/>
          <w:lang w:val="en-GB" w:bidi="ar-SA"/>
        </w:rPr>
        <w:t>export earnings o</w:t>
      </w:r>
      <w:r w:rsidR="009537E1">
        <w:rPr>
          <w:rFonts w:cs="Times New Roman"/>
          <w:color w:val="auto"/>
          <w:lang w:val="en-GB" w:bidi="ar-SA"/>
        </w:rPr>
        <w:t>f</w:t>
      </w:r>
      <w:r w:rsidR="00B61422">
        <w:rPr>
          <w:rFonts w:cs="Times New Roman"/>
          <w:color w:val="auto"/>
          <w:lang w:val="en-GB" w:bidi="ar-SA"/>
        </w:rPr>
        <w:t xml:space="preserve"> petroleum products, particularly on </w:t>
      </w:r>
      <w:r w:rsidR="00B61422" w:rsidRPr="00DA142B">
        <w:rPr>
          <w:rFonts w:cs="Times New Roman"/>
          <w:color w:val="auto"/>
          <w:lang w:val="en-GB" w:bidi="ar-SA"/>
        </w:rPr>
        <w:t>bunkering and aviation fuel</w:t>
      </w:r>
      <w:r w:rsidR="00B61422">
        <w:rPr>
          <w:rFonts w:cs="Times New Roman"/>
          <w:color w:val="auto"/>
          <w:lang w:val="en-GB" w:bidi="ar-SA"/>
        </w:rPr>
        <w:t xml:space="preserve"> were significantly affected by the </w:t>
      </w:r>
      <w:r w:rsidR="001D6ED3">
        <w:rPr>
          <w:rFonts w:cs="Times New Roman"/>
          <w:color w:val="auto"/>
          <w:lang w:val="en-GB" w:bidi="ar-SA"/>
        </w:rPr>
        <w:t>heightened</w:t>
      </w:r>
      <w:r w:rsidR="001D6ED3" w:rsidRPr="007352A6">
        <w:rPr>
          <w:rFonts w:cs="Times New Roman"/>
          <w:color w:val="auto"/>
          <w:lang w:val="en-GB" w:bidi="ar-SA"/>
        </w:rPr>
        <w:t xml:space="preserve"> competition</w:t>
      </w:r>
      <w:r w:rsidR="001D6ED3">
        <w:rPr>
          <w:rFonts w:cs="Times New Roman"/>
          <w:color w:val="auto"/>
          <w:lang w:val="en-GB" w:bidi="ar-SA"/>
        </w:rPr>
        <w:t xml:space="preserve"> from major</w:t>
      </w:r>
      <w:r w:rsidR="00531CFD">
        <w:rPr>
          <w:rFonts w:cs="Times New Roman"/>
          <w:color w:val="auto"/>
          <w:lang w:val="en-GB" w:bidi="ar-SA"/>
        </w:rPr>
        <w:t xml:space="preserve"> regional players</w:t>
      </w:r>
      <w:r w:rsidR="0028691A">
        <w:rPr>
          <w:rFonts w:cs="Times New Roman"/>
          <w:color w:val="auto"/>
          <w:lang w:val="en-GB" w:bidi="ar-SA"/>
        </w:rPr>
        <w:t xml:space="preserve">. </w:t>
      </w:r>
    </w:p>
    <w:p w:rsidR="002E2D73" w:rsidRPr="00022EE8" w:rsidRDefault="002E2D73" w:rsidP="001D6ED3">
      <w:pPr>
        <w:pStyle w:val="Default"/>
        <w:spacing w:after="120" w:line="360" w:lineRule="auto"/>
        <w:jc w:val="both"/>
        <w:rPr>
          <w:rFonts w:cs="Times New Roman"/>
          <w:color w:val="0D0D0D"/>
          <w:lang w:val="en-GB" w:bidi="ar-SA"/>
        </w:rPr>
      </w:pPr>
      <w:r w:rsidRPr="00022EE8">
        <w:rPr>
          <w:rFonts w:cs="Times New Roman"/>
          <w:bCs/>
          <w:color w:val="0D0D0D"/>
          <w:lang w:val="en-GB"/>
        </w:rPr>
        <w:t xml:space="preserve">Major export destinations during January to </w:t>
      </w:r>
      <w:r w:rsidR="00B61422" w:rsidRPr="00022EE8">
        <w:rPr>
          <w:rFonts w:cs="Times New Roman"/>
          <w:bCs/>
          <w:color w:val="0D0D0D"/>
          <w:lang w:val="en-GB"/>
        </w:rPr>
        <w:t>September</w:t>
      </w:r>
      <w:r w:rsidRPr="00022EE8">
        <w:rPr>
          <w:rFonts w:cs="Times New Roman"/>
          <w:bCs/>
          <w:color w:val="0D0D0D"/>
          <w:lang w:val="en-GB"/>
        </w:rPr>
        <w:t xml:space="preserve"> 2014 were USA, UK, Italy, India and Germany </w:t>
      </w:r>
      <w:r w:rsidR="00960E76" w:rsidRPr="00022EE8">
        <w:rPr>
          <w:rFonts w:cs="Times New Roman"/>
          <w:bCs/>
          <w:color w:val="0D0D0D"/>
          <w:lang w:val="en-GB"/>
        </w:rPr>
        <w:t>accounting for</w:t>
      </w:r>
      <w:r w:rsidRPr="00022EE8">
        <w:rPr>
          <w:rFonts w:cs="Times New Roman"/>
          <w:bCs/>
          <w:color w:val="0D0D0D"/>
          <w:lang w:val="en-GB"/>
        </w:rPr>
        <w:t xml:space="preserve"> around 50 per cent of total exports.</w:t>
      </w:r>
      <w:r w:rsidR="004B2EED" w:rsidRPr="00022EE8">
        <w:rPr>
          <w:rFonts w:cs="Times New Roman"/>
          <w:color w:val="0D0D0D"/>
          <w:lang w:val="en-GB" w:bidi="ar-SA"/>
        </w:rPr>
        <w:t xml:space="preserve"> </w:t>
      </w:r>
    </w:p>
    <w:p w:rsidR="001D6ED3" w:rsidRDefault="001D6ED3" w:rsidP="001D6ED3">
      <w:pPr>
        <w:pStyle w:val="Default"/>
        <w:spacing w:after="120" w:line="360" w:lineRule="auto"/>
        <w:jc w:val="center"/>
        <w:rPr>
          <w:rFonts w:cs="Times New Roman"/>
          <w:b/>
          <w:bCs/>
          <w:lang w:val="en-GB"/>
        </w:rPr>
      </w:pPr>
      <w:r>
        <w:rPr>
          <w:rFonts w:cs="Times New Roman"/>
          <w:b/>
          <w:bCs/>
          <w:lang w:val="en-GB"/>
        </w:rPr>
        <w:t xml:space="preserve">Table </w:t>
      </w:r>
      <w:r w:rsidRPr="00CE29C8">
        <w:rPr>
          <w:rFonts w:cs="Times New Roman"/>
          <w:b/>
          <w:bCs/>
          <w:lang w:val="en-GB"/>
        </w:rPr>
        <w:t>1.</w:t>
      </w:r>
      <w:r>
        <w:rPr>
          <w:rFonts w:cs="Times New Roman"/>
          <w:b/>
          <w:bCs/>
          <w:lang w:val="en-GB"/>
        </w:rPr>
        <w:t xml:space="preserve"> </w:t>
      </w:r>
      <w:r w:rsidRPr="00CE29C8">
        <w:rPr>
          <w:rFonts w:cs="Times New Roman"/>
          <w:b/>
          <w:bCs/>
          <w:lang w:val="en-GB"/>
        </w:rPr>
        <w:t xml:space="preserve"> </w:t>
      </w:r>
      <w:r>
        <w:rPr>
          <w:rFonts w:cs="Times New Roman"/>
          <w:b/>
          <w:bCs/>
          <w:lang w:val="en-GB"/>
        </w:rPr>
        <w:t>Earnings from</w:t>
      </w:r>
      <w:r w:rsidRPr="00CE29C8">
        <w:rPr>
          <w:rFonts w:cs="Times New Roman"/>
          <w:b/>
          <w:bCs/>
          <w:lang w:val="en-GB"/>
        </w:rPr>
        <w:t xml:space="preserve"> </w:t>
      </w:r>
      <w:r>
        <w:rPr>
          <w:rFonts w:cs="Times New Roman"/>
          <w:b/>
          <w:bCs/>
          <w:lang w:val="en-GB"/>
        </w:rPr>
        <w:t>E</w:t>
      </w:r>
      <w:r w:rsidRPr="00CE29C8">
        <w:rPr>
          <w:rFonts w:cs="Times New Roman"/>
          <w:b/>
          <w:bCs/>
          <w:lang w:val="en-GB"/>
        </w:rPr>
        <w:t>xports</w:t>
      </w:r>
    </w:p>
    <w:tbl>
      <w:tblPr>
        <w:tblW w:w="919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tblPr>
      <w:tblGrid>
        <w:gridCol w:w="4913"/>
        <w:gridCol w:w="1514"/>
        <w:gridCol w:w="1520"/>
        <w:gridCol w:w="1247"/>
      </w:tblGrid>
      <w:tr w:rsidR="00F02C98" w:rsidRPr="008C4CBC" w:rsidTr="00F02C98">
        <w:trPr>
          <w:trHeight w:val="612"/>
        </w:trPr>
        <w:tc>
          <w:tcPr>
            <w:tcW w:w="4913" w:type="dxa"/>
            <w:tcBorders>
              <w:bottom w:val="single" w:sz="6" w:space="0" w:color="FFFFFF"/>
            </w:tcBorders>
            <w:shd w:val="clear" w:color="auto" w:fill="C9C9C9"/>
            <w:vAlign w:val="center"/>
          </w:tcPr>
          <w:p w:rsidR="00F02C98" w:rsidRPr="008C4CBC" w:rsidRDefault="00F02C98" w:rsidP="00EF60CC">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Category</w:t>
            </w:r>
          </w:p>
        </w:tc>
        <w:tc>
          <w:tcPr>
            <w:tcW w:w="1514" w:type="dxa"/>
            <w:tcBorders>
              <w:bottom w:val="single" w:sz="6" w:space="0" w:color="FFFFFF"/>
            </w:tcBorders>
            <w:shd w:val="clear" w:color="auto" w:fill="C9C9C9"/>
          </w:tcPr>
          <w:p w:rsidR="00F02C98" w:rsidRDefault="00F02C98" w:rsidP="008C4CBC">
            <w:pPr>
              <w:spacing w:before="120"/>
              <w:jc w:val="center"/>
              <w:rPr>
                <w:rFonts w:ascii="Book Antiqua" w:hAnsi="Book Antiqua" w:cs="Arial"/>
                <w:b/>
                <w:bCs/>
                <w:sz w:val="20"/>
                <w:szCs w:val="20"/>
                <w:lang w:bidi="ta-IN"/>
              </w:rPr>
            </w:pPr>
            <w:r>
              <w:rPr>
                <w:rFonts w:ascii="Book Antiqua" w:hAnsi="Book Antiqua" w:cs="Arial"/>
                <w:b/>
                <w:bCs/>
                <w:sz w:val="20"/>
                <w:szCs w:val="20"/>
                <w:lang w:bidi="ta-IN"/>
              </w:rPr>
              <w:t>September</w:t>
            </w:r>
            <w:r w:rsidRPr="008C4CBC">
              <w:rPr>
                <w:rFonts w:ascii="Book Antiqua" w:hAnsi="Book Antiqua" w:cs="Arial"/>
                <w:b/>
                <w:bCs/>
                <w:sz w:val="20"/>
                <w:szCs w:val="20"/>
                <w:lang w:bidi="ta-IN"/>
              </w:rPr>
              <w:t xml:space="preserve"> </w:t>
            </w:r>
          </w:p>
          <w:p w:rsidR="00F02C98" w:rsidRPr="008C4CBC" w:rsidRDefault="00F02C98" w:rsidP="008C4CBC">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2013</w:t>
            </w:r>
          </w:p>
          <w:p w:rsidR="00F02C98" w:rsidRPr="008C4CBC" w:rsidRDefault="00F02C98" w:rsidP="008C4CBC">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(USD mn)</w:t>
            </w:r>
          </w:p>
        </w:tc>
        <w:tc>
          <w:tcPr>
            <w:tcW w:w="1520" w:type="dxa"/>
            <w:tcBorders>
              <w:bottom w:val="single" w:sz="6" w:space="0" w:color="FFFFFF"/>
            </w:tcBorders>
            <w:shd w:val="clear" w:color="auto" w:fill="C9C9C9"/>
          </w:tcPr>
          <w:p w:rsidR="00F02C98" w:rsidRDefault="00F02C98" w:rsidP="008C4CBC">
            <w:pPr>
              <w:spacing w:before="120"/>
              <w:jc w:val="center"/>
              <w:rPr>
                <w:rFonts w:ascii="Book Antiqua" w:hAnsi="Book Antiqua" w:cs="Arial"/>
                <w:b/>
                <w:bCs/>
                <w:sz w:val="20"/>
                <w:szCs w:val="20"/>
                <w:lang w:bidi="ta-IN"/>
              </w:rPr>
            </w:pPr>
            <w:r>
              <w:rPr>
                <w:rFonts w:ascii="Book Antiqua" w:hAnsi="Book Antiqua" w:cs="Arial"/>
                <w:b/>
                <w:bCs/>
                <w:sz w:val="20"/>
                <w:szCs w:val="20"/>
                <w:lang w:bidi="ta-IN"/>
              </w:rPr>
              <w:t>September</w:t>
            </w:r>
          </w:p>
          <w:p w:rsidR="00F02C98" w:rsidRPr="008C4CBC" w:rsidRDefault="00F02C98" w:rsidP="008C4CBC">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2014</w:t>
            </w:r>
          </w:p>
          <w:p w:rsidR="00F02C98" w:rsidRPr="008C4CBC" w:rsidRDefault="00F02C98" w:rsidP="008C4CBC">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(USD mn)</w:t>
            </w:r>
          </w:p>
        </w:tc>
        <w:tc>
          <w:tcPr>
            <w:tcW w:w="1247" w:type="dxa"/>
            <w:tcBorders>
              <w:bottom w:val="single" w:sz="6" w:space="0" w:color="FFFFFF"/>
            </w:tcBorders>
            <w:shd w:val="clear" w:color="auto" w:fill="C9C9C9"/>
          </w:tcPr>
          <w:p w:rsidR="00F02C98" w:rsidRDefault="00F02C98" w:rsidP="008C4CBC">
            <w:pPr>
              <w:spacing w:before="120"/>
              <w:jc w:val="center"/>
              <w:rPr>
                <w:rFonts w:ascii="Book Antiqua" w:hAnsi="Book Antiqua" w:cs="Arial"/>
                <w:b/>
                <w:bCs/>
                <w:sz w:val="20"/>
                <w:szCs w:val="20"/>
                <w:lang w:bidi="ta-IN"/>
              </w:rPr>
            </w:pPr>
          </w:p>
          <w:p w:rsidR="00F02C98" w:rsidRPr="008C4CBC" w:rsidRDefault="00F02C98" w:rsidP="008C4CBC">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Growth (%)</w:t>
            </w:r>
          </w:p>
        </w:tc>
      </w:tr>
      <w:tr w:rsidR="00F02C98" w:rsidRPr="008C4CBC" w:rsidTr="00F02C98">
        <w:trPr>
          <w:trHeight w:val="360"/>
        </w:trPr>
        <w:tc>
          <w:tcPr>
            <w:tcW w:w="4913" w:type="dxa"/>
            <w:tcBorders>
              <w:bottom w:val="single" w:sz="6" w:space="0" w:color="FFFFFF"/>
            </w:tcBorders>
            <w:shd w:val="clear" w:color="auto" w:fill="D9D9D9"/>
            <w:noWrap/>
            <w:vAlign w:val="center"/>
          </w:tcPr>
          <w:p w:rsidR="00F02C98" w:rsidRPr="00EF60CC" w:rsidRDefault="00F02C98" w:rsidP="00EF60CC">
            <w:pPr>
              <w:rPr>
                <w:rFonts w:ascii="Book Antiqua" w:hAnsi="Book Antiqua" w:cs="Arial"/>
                <w:b/>
                <w:sz w:val="20"/>
                <w:szCs w:val="20"/>
                <w:lang w:bidi="ta-IN"/>
              </w:rPr>
            </w:pPr>
            <w:r w:rsidRPr="00EF60CC">
              <w:rPr>
                <w:rFonts w:ascii="Book Antiqua" w:hAnsi="Book Antiqua" w:cs="Arial"/>
                <w:b/>
                <w:sz w:val="20"/>
                <w:szCs w:val="20"/>
                <w:lang w:bidi="ta-IN"/>
              </w:rPr>
              <w:t xml:space="preserve">1. Industrial  exports   </w:t>
            </w:r>
          </w:p>
        </w:tc>
        <w:tc>
          <w:tcPr>
            <w:tcW w:w="1514" w:type="dxa"/>
            <w:tcBorders>
              <w:bottom w:val="single" w:sz="6" w:space="0" w:color="FFFFFF"/>
            </w:tcBorders>
            <w:shd w:val="clear" w:color="auto" w:fill="D9D9D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646.3</w:t>
            </w:r>
          </w:p>
        </w:tc>
        <w:tc>
          <w:tcPr>
            <w:tcW w:w="1520" w:type="dxa"/>
            <w:tcBorders>
              <w:bottom w:val="single" w:sz="6" w:space="0" w:color="FFFFFF"/>
            </w:tcBorders>
            <w:shd w:val="clear" w:color="auto" w:fill="D9D9D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667.9</w:t>
            </w:r>
          </w:p>
        </w:tc>
        <w:tc>
          <w:tcPr>
            <w:tcW w:w="1247" w:type="dxa"/>
            <w:tcBorders>
              <w:bottom w:val="single" w:sz="6" w:space="0" w:color="FFFFFF"/>
            </w:tcBorders>
            <w:shd w:val="clear" w:color="auto" w:fill="D9D9D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3.4</w:t>
            </w:r>
          </w:p>
        </w:tc>
      </w:tr>
      <w:tr w:rsidR="00F02C98" w:rsidRPr="008C4CBC" w:rsidTr="00F02C98">
        <w:trPr>
          <w:trHeight w:val="360"/>
        </w:trPr>
        <w:tc>
          <w:tcPr>
            <w:tcW w:w="4913" w:type="dxa"/>
            <w:shd w:val="clear" w:color="auto" w:fill="F2F2F2"/>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bCs/>
                <w:sz w:val="20"/>
                <w:szCs w:val="20"/>
              </w:rPr>
              <w:t xml:space="preserve">    </w:t>
            </w:r>
            <w:r>
              <w:rPr>
                <w:rFonts w:ascii="Book Antiqua" w:hAnsi="Book Antiqua"/>
                <w:bCs/>
                <w:sz w:val="20"/>
                <w:szCs w:val="20"/>
              </w:rPr>
              <w:t xml:space="preserve">  </w:t>
            </w:r>
            <w:r w:rsidRPr="008C4CBC">
              <w:rPr>
                <w:rFonts w:ascii="Book Antiqua" w:hAnsi="Book Antiqua" w:cs="Arial"/>
                <w:bCs/>
                <w:sz w:val="20"/>
                <w:szCs w:val="20"/>
                <w:lang w:bidi="ta-IN"/>
              </w:rPr>
              <w:t>Textiles and garments</w:t>
            </w:r>
          </w:p>
        </w:tc>
        <w:tc>
          <w:tcPr>
            <w:tcW w:w="1514"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386.9</w:t>
            </w:r>
          </w:p>
        </w:tc>
        <w:tc>
          <w:tcPr>
            <w:tcW w:w="1520"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403.8</w:t>
            </w:r>
          </w:p>
        </w:tc>
        <w:tc>
          <w:tcPr>
            <w:tcW w:w="1247"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4.4</w:t>
            </w:r>
          </w:p>
        </w:tc>
      </w:tr>
      <w:tr w:rsidR="00F02C98" w:rsidRPr="008C4CBC" w:rsidTr="00F02C98">
        <w:trPr>
          <w:trHeight w:val="360"/>
        </w:trPr>
        <w:tc>
          <w:tcPr>
            <w:tcW w:w="4913" w:type="dxa"/>
            <w:tcBorders>
              <w:bottom w:val="single" w:sz="6" w:space="0" w:color="FFFFFF"/>
            </w:tcBorders>
            <w:shd w:val="clear" w:color="auto" w:fill="auto"/>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Rubber products</w:t>
            </w:r>
          </w:p>
        </w:tc>
        <w:tc>
          <w:tcPr>
            <w:tcW w:w="1514"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73.3</w:t>
            </w:r>
          </w:p>
        </w:tc>
        <w:tc>
          <w:tcPr>
            <w:tcW w:w="1520"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70.5</w:t>
            </w:r>
          </w:p>
        </w:tc>
        <w:tc>
          <w:tcPr>
            <w:tcW w:w="1247"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-3.8</w:t>
            </w:r>
          </w:p>
        </w:tc>
      </w:tr>
      <w:tr w:rsidR="00F02C98" w:rsidRPr="008C4CBC" w:rsidTr="00F02C98">
        <w:trPr>
          <w:trHeight w:val="360"/>
        </w:trPr>
        <w:tc>
          <w:tcPr>
            <w:tcW w:w="4913" w:type="dxa"/>
            <w:shd w:val="clear" w:color="auto" w:fill="F2F2F2"/>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Gems, diamonds and jewellery</w:t>
            </w:r>
          </w:p>
        </w:tc>
        <w:tc>
          <w:tcPr>
            <w:tcW w:w="1514"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41.5</w:t>
            </w:r>
          </w:p>
        </w:tc>
        <w:tc>
          <w:tcPr>
            <w:tcW w:w="1520"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33.0</w:t>
            </w:r>
          </w:p>
        </w:tc>
        <w:tc>
          <w:tcPr>
            <w:tcW w:w="1247"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-20.5</w:t>
            </w:r>
          </w:p>
        </w:tc>
      </w:tr>
      <w:tr w:rsidR="00F02C98" w:rsidRPr="008C4CBC" w:rsidTr="00F02C98">
        <w:trPr>
          <w:trHeight w:val="360"/>
        </w:trPr>
        <w:tc>
          <w:tcPr>
            <w:tcW w:w="4913" w:type="dxa"/>
            <w:tcBorders>
              <w:bottom w:val="single" w:sz="6" w:space="0" w:color="FFFFFF"/>
            </w:tcBorders>
            <w:shd w:val="clear" w:color="auto" w:fill="auto"/>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Transport equipment</w:t>
            </w:r>
          </w:p>
        </w:tc>
        <w:tc>
          <w:tcPr>
            <w:tcW w:w="1514"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4.9</w:t>
            </w:r>
          </w:p>
        </w:tc>
        <w:tc>
          <w:tcPr>
            <w:tcW w:w="1520"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5.5</w:t>
            </w:r>
          </w:p>
        </w:tc>
        <w:tc>
          <w:tcPr>
            <w:tcW w:w="1247"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11.9</w:t>
            </w:r>
          </w:p>
        </w:tc>
      </w:tr>
      <w:tr w:rsidR="00F02C98" w:rsidRPr="008C4CBC" w:rsidTr="00F02C98">
        <w:trPr>
          <w:trHeight w:val="360"/>
        </w:trPr>
        <w:tc>
          <w:tcPr>
            <w:tcW w:w="4913" w:type="dxa"/>
            <w:shd w:val="clear" w:color="auto" w:fill="F2F2F2"/>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Machinery and mechanical appliances</w:t>
            </w:r>
          </w:p>
        </w:tc>
        <w:tc>
          <w:tcPr>
            <w:tcW w:w="1514"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25.0</w:t>
            </w:r>
          </w:p>
        </w:tc>
        <w:tc>
          <w:tcPr>
            <w:tcW w:w="1520" w:type="dxa"/>
            <w:shd w:val="clear" w:color="auto" w:fill="F2F2F2"/>
            <w:noWrap/>
            <w:vAlign w:val="center"/>
          </w:tcPr>
          <w:p w:rsidR="00F02C98" w:rsidRPr="008C4CBC" w:rsidRDefault="00F02C98" w:rsidP="00BA3366">
            <w:pPr>
              <w:jc w:val="right"/>
              <w:rPr>
                <w:rFonts w:ascii="Book Antiqua" w:hAnsi="Book Antiqua" w:cs="Arial"/>
                <w:bCs/>
                <w:sz w:val="20"/>
                <w:szCs w:val="20"/>
                <w:lang w:bidi="ta-IN"/>
              </w:rPr>
            </w:pPr>
            <w:r>
              <w:rPr>
                <w:rFonts w:ascii="Book Antiqua" w:hAnsi="Book Antiqua" w:cs="Arial"/>
                <w:bCs/>
                <w:sz w:val="20"/>
                <w:szCs w:val="20"/>
                <w:lang w:bidi="ta-IN"/>
              </w:rPr>
              <w:t>29.3</w:t>
            </w:r>
          </w:p>
        </w:tc>
        <w:tc>
          <w:tcPr>
            <w:tcW w:w="1247" w:type="dxa"/>
            <w:shd w:val="clear" w:color="auto" w:fill="F2F2F2"/>
            <w:noWrap/>
            <w:vAlign w:val="center"/>
          </w:tcPr>
          <w:p w:rsidR="00F02C98" w:rsidRPr="008C4CBC" w:rsidRDefault="00F02C98" w:rsidP="00BA3366">
            <w:pPr>
              <w:jc w:val="right"/>
              <w:rPr>
                <w:rFonts w:ascii="Book Antiqua" w:hAnsi="Book Antiqua" w:cs="Arial"/>
                <w:bCs/>
                <w:sz w:val="20"/>
                <w:szCs w:val="20"/>
                <w:lang w:bidi="ta-IN"/>
              </w:rPr>
            </w:pPr>
            <w:r>
              <w:rPr>
                <w:rFonts w:ascii="Book Antiqua" w:hAnsi="Book Antiqua" w:cs="Arial"/>
                <w:bCs/>
                <w:sz w:val="20"/>
                <w:szCs w:val="20"/>
                <w:lang w:bidi="ta-IN"/>
              </w:rPr>
              <w:t>17.1</w:t>
            </w:r>
          </w:p>
        </w:tc>
      </w:tr>
      <w:tr w:rsidR="00F02C98" w:rsidRPr="008C4CBC" w:rsidTr="00F02C98">
        <w:trPr>
          <w:trHeight w:val="360"/>
        </w:trPr>
        <w:tc>
          <w:tcPr>
            <w:tcW w:w="4913" w:type="dxa"/>
            <w:tcBorders>
              <w:bottom w:val="single" w:sz="6" w:space="0" w:color="FFFFFF"/>
            </w:tcBorders>
            <w:shd w:val="clear" w:color="auto" w:fill="auto"/>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Petroleum products</w:t>
            </w:r>
          </w:p>
        </w:tc>
        <w:tc>
          <w:tcPr>
            <w:tcW w:w="1514"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30.5</w:t>
            </w:r>
          </w:p>
        </w:tc>
        <w:tc>
          <w:tcPr>
            <w:tcW w:w="1520"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19.4</w:t>
            </w:r>
          </w:p>
        </w:tc>
        <w:tc>
          <w:tcPr>
            <w:tcW w:w="1247"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-36.3</w:t>
            </w:r>
          </w:p>
        </w:tc>
      </w:tr>
      <w:tr w:rsidR="00F02C98" w:rsidRPr="008C4CBC" w:rsidTr="00F02C98">
        <w:trPr>
          <w:trHeight w:val="360"/>
        </w:trPr>
        <w:tc>
          <w:tcPr>
            <w:tcW w:w="4913" w:type="dxa"/>
            <w:shd w:val="clear" w:color="auto" w:fill="F2F2F2"/>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Food beverages &amp; tobacco</w:t>
            </w:r>
          </w:p>
        </w:tc>
        <w:tc>
          <w:tcPr>
            <w:tcW w:w="1514"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18.8</w:t>
            </w:r>
          </w:p>
        </w:tc>
        <w:tc>
          <w:tcPr>
            <w:tcW w:w="1520"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24.1</w:t>
            </w:r>
          </w:p>
        </w:tc>
        <w:tc>
          <w:tcPr>
            <w:tcW w:w="1247"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28.1</w:t>
            </w:r>
          </w:p>
        </w:tc>
      </w:tr>
      <w:tr w:rsidR="00F02C98" w:rsidRPr="008C4CBC" w:rsidTr="00F02C98">
        <w:trPr>
          <w:trHeight w:val="360"/>
        </w:trPr>
        <w:tc>
          <w:tcPr>
            <w:tcW w:w="4913" w:type="dxa"/>
            <w:tcBorders>
              <w:bottom w:val="single" w:sz="6" w:space="0" w:color="FFFFFF"/>
            </w:tcBorders>
            <w:shd w:val="clear" w:color="auto" w:fill="auto"/>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Other</w:t>
            </w:r>
          </w:p>
        </w:tc>
        <w:tc>
          <w:tcPr>
            <w:tcW w:w="1514" w:type="dxa"/>
            <w:tcBorders>
              <w:bottom w:val="single" w:sz="6" w:space="0" w:color="FFFFFF"/>
            </w:tcBorders>
            <w:shd w:val="clear" w:color="auto" w:fill="auto"/>
            <w:noWrap/>
          </w:tcPr>
          <w:p w:rsidR="00F02C98" w:rsidRPr="00AE56DF" w:rsidRDefault="00F02C98" w:rsidP="00AE56DF">
            <w:pPr>
              <w:jc w:val="right"/>
              <w:rPr>
                <w:rFonts w:ascii="Book Antiqua" w:hAnsi="Book Antiqua" w:cs="Arial"/>
                <w:sz w:val="20"/>
                <w:szCs w:val="20"/>
                <w:lang w:bidi="ta-IN"/>
              </w:rPr>
            </w:pPr>
            <w:r w:rsidRPr="00AE56DF">
              <w:rPr>
                <w:rFonts w:ascii="Book Antiqua" w:hAnsi="Book Antiqua" w:cs="Arial"/>
                <w:sz w:val="20"/>
                <w:szCs w:val="20"/>
                <w:lang w:bidi="ta-IN"/>
              </w:rPr>
              <w:t>65.3</w:t>
            </w:r>
          </w:p>
        </w:tc>
        <w:tc>
          <w:tcPr>
            <w:tcW w:w="1520" w:type="dxa"/>
            <w:tcBorders>
              <w:bottom w:val="single" w:sz="6" w:space="0" w:color="FFFFFF"/>
            </w:tcBorders>
            <w:shd w:val="clear" w:color="auto" w:fill="auto"/>
            <w:noWrap/>
          </w:tcPr>
          <w:p w:rsidR="00F02C98" w:rsidRPr="00AE56DF" w:rsidRDefault="00F02C98" w:rsidP="00AE56DF">
            <w:pPr>
              <w:jc w:val="right"/>
              <w:rPr>
                <w:rFonts w:ascii="Book Antiqua" w:hAnsi="Book Antiqua" w:cs="Arial"/>
                <w:sz w:val="20"/>
                <w:szCs w:val="20"/>
                <w:lang w:bidi="ta-IN"/>
              </w:rPr>
            </w:pPr>
            <w:r w:rsidRPr="00AE56DF">
              <w:rPr>
                <w:rFonts w:ascii="Book Antiqua" w:hAnsi="Book Antiqua" w:cs="Arial"/>
                <w:sz w:val="20"/>
                <w:szCs w:val="20"/>
                <w:lang w:bidi="ta-IN"/>
              </w:rPr>
              <w:t>82.3</w:t>
            </w:r>
          </w:p>
        </w:tc>
        <w:tc>
          <w:tcPr>
            <w:tcW w:w="1247" w:type="dxa"/>
            <w:tcBorders>
              <w:bottom w:val="single" w:sz="6" w:space="0" w:color="FFFFFF"/>
            </w:tcBorders>
            <w:shd w:val="clear" w:color="auto" w:fill="auto"/>
            <w:noWrap/>
          </w:tcPr>
          <w:p w:rsidR="00F02C98" w:rsidRPr="00AE56DF" w:rsidRDefault="00F02C98" w:rsidP="00AE56DF">
            <w:pPr>
              <w:jc w:val="right"/>
              <w:rPr>
                <w:rFonts w:ascii="Book Antiqua" w:hAnsi="Book Antiqua" w:cs="Arial"/>
                <w:sz w:val="20"/>
                <w:szCs w:val="20"/>
                <w:lang w:bidi="ta-IN"/>
              </w:rPr>
            </w:pPr>
            <w:r w:rsidRPr="00AE56DF">
              <w:rPr>
                <w:rFonts w:ascii="Book Antiqua" w:hAnsi="Book Antiqua" w:cs="Arial"/>
                <w:sz w:val="20"/>
                <w:szCs w:val="20"/>
                <w:lang w:bidi="ta-IN"/>
              </w:rPr>
              <w:t>26.0</w:t>
            </w:r>
          </w:p>
        </w:tc>
      </w:tr>
      <w:tr w:rsidR="00F02C98" w:rsidRPr="00EF60CC" w:rsidTr="00F02C98">
        <w:trPr>
          <w:trHeight w:val="360"/>
        </w:trPr>
        <w:tc>
          <w:tcPr>
            <w:tcW w:w="4913" w:type="dxa"/>
            <w:tcBorders>
              <w:bottom w:val="single" w:sz="6" w:space="0" w:color="FFFFFF"/>
            </w:tcBorders>
            <w:shd w:val="clear" w:color="auto" w:fill="D9D9D9"/>
            <w:noWrap/>
            <w:vAlign w:val="center"/>
          </w:tcPr>
          <w:p w:rsidR="00F02C98" w:rsidRPr="00EF60CC" w:rsidRDefault="00F02C98" w:rsidP="00EF60CC">
            <w:pPr>
              <w:rPr>
                <w:rFonts w:ascii="Book Antiqua" w:hAnsi="Book Antiqua" w:cs="Arial"/>
                <w:b/>
                <w:sz w:val="20"/>
                <w:szCs w:val="20"/>
                <w:lang w:bidi="ta-IN"/>
              </w:rPr>
            </w:pPr>
            <w:r w:rsidRPr="00EF60CC">
              <w:rPr>
                <w:rFonts w:ascii="Book Antiqua" w:hAnsi="Book Antiqua" w:cs="Arial"/>
                <w:b/>
                <w:sz w:val="20"/>
                <w:szCs w:val="20"/>
                <w:lang w:bidi="ta-IN"/>
              </w:rPr>
              <w:t>2. Agricultural exports</w:t>
            </w:r>
          </w:p>
        </w:tc>
        <w:tc>
          <w:tcPr>
            <w:tcW w:w="1514" w:type="dxa"/>
            <w:tcBorders>
              <w:bottom w:val="single" w:sz="6" w:space="0" w:color="FFFFFF"/>
            </w:tcBorders>
            <w:shd w:val="clear" w:color="auto" w:fill="D9D9D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238.9</w:t>
            </w:r>
          </w:p>
        </w:tc>
        <w:tc>
          <w:tcPr>
            <w:tcW w:w="1520" w:type="dxa"/>
            <w:tcBorders>
              <w:bottom w:val="single" w:sz="6" w:space="0" w:color="FFFFFF"/>
            </w:tcBorders>
            <w:shd w:val="clear" w:color="auto" w:fill="D9D9D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231.9</w:t>
            </w:r>
          </w:p>
        </w:tc>
        <w:tc>
          <w:tcPr>
            <w:tcW w:w="1247" w:type="dxa"/>
            <w:tcBorders>
              <w:bottom w:val="single" w:sz="6" w:space="0" w:color="FFFFFF"/>
            </w:tcBorders>
            <w:shd w:val="clear" w:color="auto" w:fill="D9D9D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-2.9</w:t>
            </w:r>
          </w:p>
        </w:tc>
      </w:tr>
      <w:tr w:rsidR="00F02C98" w:rsidRPr="008C4CBC" w:rsidTr="00F02C98">
        <w:trPr>
          <w:trHeight w:val="360"/>
        </w:trPr>
        <w:tc>
          <w:tcPr>
            <w:tcW w:w="4913" w:type="dxa"/>
            <w:shd w:val="clear" w:color="auto" w:fill="F2F2F2"/>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bCs/>
                <w:sz w:val="20"/>
                <w:szCs w:val="20"/>
              </w:rPr>
              <w:t xml:space="preserve">      Tea</w:t>
            </w:r>
          </w:p>
        </w:tc>
        <w:tc>
          <w:tcPr>
            <w:tcW w:w="1514"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140.3</w:t>
            </w:r>
          </w:p>
        </w:tc>
        <w:tc>
          <w:tcPr>
            <w:tcW w:w="1520"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133.6</w:t>
            </w:r>
          </w:p>
        </w:tc>
        <w:tc>
          <w:tcPr>
            <w:tcW w:w="1247"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-4.8</w:t>
            </w:r>
          </w:p>
        </w:tc>
      </w:tr>
      <w:tr w:rsidR="00F02C98" w:rsidRPr="008C4CBC" w:rsidTr="00F02C98">
        <w:trPr>
          <w:trHeight w:val="360"/>
        </w:trPr>
        <w:tc>
          <w:tcPr>
            <w:tcW w:w="4913" w:type="dxa"/>
            <w:tcBorders>
              <w:bottom w:val="single" w:sz="6" w:space="0" w:color="FFFFFF"/>
            </w:tcBorders>
            <w:shd w:val="clear" w:color="auto" w:fill="auto"/>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Coconut</w:t>
            </w:r>
          </w:p>
        </w:tc>
        <w:tc>
          <w:tcPr>
            <w:tcW w:w="1514"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19.1</w:t>
            </w:r>
          </w:p>
        </w:tc>
        <w:tc>
          <w:tcPr>
            <w:tcW w:w="1520"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33.4</w:t>
            </w:r>
          </w:p>
        </w:tc>
        <w:tc>
          <w:tcPr>
            <w:tcW w:w="1247"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75.3</w:t>
            </w:r>
          </w:p>
        </w:tc>
      </w:tr>
      <w:tr w:rsidR="00F02C98" w:rsidRPr="008C4CBC" w:rsidTr="00F02C98">
        <w:trPr>
          <w:trHeight w:val="360"/>
        </w:trPr>
        <w:tc>
          <w:tcPr>
            <w:tcW w:w="4913" w:type="dxa"/>
            <w:shd w:val="clear" w:color="auto" w:fill="F2F2F2"/>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Sea Food</w:t>
            </w:r>
          </w:p>
        </w:tc>
        <w:tc>
          <w:tcPr>
            <w:tcW w:w="1514"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17.7</w:t>
            </w:r>
          </w:p>
        </w:tc>
        <w:tc>
          <w:tcPr>
            <w:tcW w:w="1520"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17.7</w:t>
            </w:r>
          </w:p>
        </w:tc>
        <w:tc>
          <w:tcPr>
            <w:tcW w:w="1247" w:type="dxa"/>
            <w:shd w:val="clear" w:color="auto" w:fill="F2F2F2"/>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0.0</w:t>
            </w:r>
          </w:p>
        </w:tc>
      </w:tr>
      <w:tr w:rsidR="00F02C98" w:rsidRPr="008C4CBC" w:rsidTr="00F02C98">
        <w:trPr>
          <w:trHeight w:val="360"/>
        </w:trPr>
        <w:tc>
          <w:tcPr>
            <w:tcW w:w="4913" w:type="dxa"/>
            <w:tcBorders>
              <w:bottom w:val="single" w:sz="6" w:space="0" w:color="FFFFFF"/>
            </w:tcBorders>
            <w:shd w:val="clear" w:color="auto" w:fill="auto"/>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Spices</w:t>
            </w:r>
          </w:p>
        </w:tc>
        <w:tc>
          <w:tcPr>
            <w:tcW w:w="1514"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40.6</w:t>
            </w:r>
          </w:p>
        </w:tc>
        <w:tc>
          <w:tcPr>
            <w:tcW w:w="1520"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27.4</w:t>
            </w:r>
          </w:p>
        </w:tc>
        <w:tc>
          <w:tcPr>
            <w:tcW w:w="1247" w:type="dxa"/>
            <w:tcBorders>
              <w:bottom w:val="single" w:sz="6" w:space="0" w:color="FFFFFF"/>
            </w:tcBorders>
            <w:shd w:val="clear" w:color="auto" w:fill="auto"/>
            <w:noWrap/>
            <w:vAlign w:val="center"/>
          </w:tcPr>
          <w:p w:rsidR="00F02C98" w:rsidRPr="008C4CBC" w:rsidRDefault="00F02C98" w:rsidP="00BA3366">
            <w:pPr>
              <w:jc w:val="right"/>
              <w:rPr>
                <w:rFonts w:ascii="Book Antiqua" w:hAnsi="Book Antiqua" w:cs="Arial"/>
                <w:sz w:val="20"/>
                <w:szCs w:val="20"/>
                <w:lang w:bidi="ta-IN"/>
              </w:rPr>
            </w:pPr>
            <w:r>
              <w:rPr>
                <w:rFonts w:ascii="Book Antiqua" w:hAnsi="Book Antiqua" w:cs="Arial"/>
                <w:sz w:val="20"/>
                <w:szCs w:val="20"/>
                <w:lang w:bidi="ta-IN"/>
              </w:rPr>
              <w:t>-32.5</w:t>
            </w:r>
          </w:p>
        </w:tc>
      </w:tr>
      <w:tr w:rsidR="00F02C98" w:rsidRPr="008C4CBC" w:rsidTr="00F02C98">
        <w:trPr>
          <w:trHeight w:val="360"/>
        </w:trPr>
        <w:tc>
          <w:tcPr>
            <w:tcW w:w="4913" w:type="dxa"/>
            <w:tcBorders>
              <w:bottom w:val="single" w:sz="6" w:space="0" w:color="FFFFFF"/>
            </w:tcBorders>
            <w:shd w:val="clear" w:color="auto" w:fill="F2F2F2"/>
            <w:noWrap/>
            <w:vAlign w:val="center"/>
          </w:tcPr>
          <w:p w:rsidR="00F02C98" w:rsidRPr="008C4CBC" w:rsidRDefault="00F02C98" w:rsidP="00EF60CC">
            <w:pPr>
              <w:rPr>
                <w:rFonts w:ascii="Book Antiqua" w:hAnsi="Book Antiqua" w:cs="Arial"/>
                <w:bCs/>
                <w:sz w:val="20"/>
                <w:szCs w:val="20"/>
                <w:lang w:bidi="ta-IN"/>
              </w:rPr>
            </w:pPr>
            <w:r w:rsidRPr="008C4CBC">
              <w:rPr>
                <w:rFonts w:ascii="Book Antiqua" w:hAnsi="Book Antiqua" w:cs="Arial"/>
                <w:bCs/>
                <w:sz w:val="20"/>
                <w:szCs w:val="20"/>
                <w:lang w:bidi="ta-IN"/>
              </w:rPr>
              <w:t xml:space="preserve">      Other</w:t>
            </w:r>
          </w:p>
        </w:tc>
        <w:tc>
          <w:tcPr>
            <w:tcW w:w="1514" w:type="dxa"/>
            <w:tcBorders>
              <w:bottom w:val="single" w:sz="6" w:space="0" w:color="FFFFFF"/>
            </w:tcBorders>
            <w:shd w:val="clear" w:color="auto" w:fill="F2F2F2"/>
            <w:noWrap/>
            <w:vAlign w:val="center"/>
          </w:tcPr>
          <w:p w:rsidR="00F02C98" w:rsidRPr="008C4CBC" w:rsidRDefault="00F02C98" w:rsidP="00BA3366">
            <w:pPr>
              <w:jc w:val="right"/>
              <w:rPr>
                <w:rFonts w:ascii="Book Antiqua" w:hAnsi="Book Antiqua" w:cs="Arial"/>
                <w:bCs/>
                <w:sz w:val="20"/>
                <w:szCs w:val="20"/>
                <w:lang w:bidi="ta-IN"/>
              </w:rPr>
            </w:pPr>
            <w:r>
              <w:rPr>
                <w:rFonts w:ascii="Book Antiqua" w:hAnsi="Book Antiqua" w:cs="Arial"/>
                <w:bCs/>
                <w:sz w:val="20"/>
                <w:szCs w:val="20"/>
                <w:lang w:bidi="ta-IN"/>
              </w:rPr>
              <w:t>21.2</w:t>
            </w:r>
          </w:p>
        </w:tc>
        <w:tc>
          <w:tcPr>
            <w:tcW w:w="1520" w:type="dxa"/>
            <w:tcBorders>
              <w:bottom w:val="single" w:sz="6" w:space="0" w:color="FFFFFF"/>
            </w:tcBorders>
            <w:shd w:val="clear" w:color="auto" w:fill="F2F2F2"/>
            <w:noWrap/>
            <w:vAlign w:val="center"/>
          </w:tcPr>
          <w:p w:rsidR="00F02C98" w:rsidRPr="008C4CBC" w:rsidRDefault="00F02C98" w:rsidP="00BA3366">
            <w:pPr>
              <w:jc w:val="right"/>
              <w:rPr>
                <w:rFonts w:ascii="Book Antiqua" w:hAnsi="Book Antiqua" w:cs="Arial"/>
                <w:bCs/>
                <w:sz w:val="20"/>
                <w:szCs w:val="20"/>
                <w:lang w:bidi="ta-IN"/>
              </w:rPr>
            </w:pPr>
            <w:r>
              <w:rPr>
                <w:rFonts w:ascii="Book Antiqua" w:hAnsi="Book Antiqua" w:cs="Arial"/>
                <w:bCs/>
                <w:sz w:val="20"/>
                <w:szCs w:val="20"/>
                <w:lang w:bidi="ta-IN"/>
              </w:rPr>
              <w:t>19.7</w:t>
            </w:r>
          </w:p>
        </w:tc>
        <w:tc>
          <w:tcPr>
            <w:tcW w:w="1247" w:type="dxa"/>
            <w:tcBorders>
              <w:bottom w:val="single" w:sz="6" w:space="0" w:color="FFFFFF"/>
            </w:tcBorders>
            <w:shd w:val="clear" w:color="auto" w:fill="F2F2F2"/>
            <w:noWrap/>
            <w:vAlign w:val="center"/>
          </w:tcPr>
          <w:p w:rsidR="00F02C98" w:rsidRPr="008C4CBC" w:rsidRDefault="00F02C98" w:rsidP="00BA3366">
            <w:pPr>
              <w:jc w:val="right"/>
              <w:rPr>
                <w:rFonts w:ascii="Book Antiqua" w:hAnsi="Book Antiqua" w:cs="Arial"/>
                <w:bCs/>
                <w:sz w:val="20"/>
                <w:szCs w:val="20"/>
                <w:lang w:bidi="ta-IN"/>
              </w:rPr>
            </w:pPr>
            <w:r>
              <w:rPr>
                <w:rFonts w:ascii="Book Antiqua" w:hAnsi="Book Antiqua" w:cs="Arial"/>
                <w:bCs/>
                <w:sz w:val="20"/>
                <w:szCs w:val="20"/>
                <w:lang w:bidi="ta-IN"/>
              </w:rPr>
              <w:t>-7.0</w:t>
            </w:r>
          </w:p>
        </w:tc>
      </w:tr>
      <w:tr w:rsidR="00F02C98" w:rsidRPr="008C4CBC" w:rsidTr="00F02C98">
        <w:trPr>
          <w:trHeight w:val="360"/>
        </w:trPr>
        <w:tc>
          <w:tcPr>
            <w:tcW w:w="4913" w:type="dxa"/>
            <w:shd w:val="clear" w:color="auto" w:fill="C9C9C9"/>
            <w:noWrap/>
            <w:vAlign w:val="center"/>
          </w:tcPr>
          <w:p w:rsidR="00F02C98" w:rsidRPr="00EF60CC" w:rsidRDefault="00F02C98" w:rsidP="00EF60CC">
            <w:pPr>
              <w:rPr>
                <w:rFonts w:ascii="Book Antiqua" w:hAnsi="Book Antiqua" w:cs="Arial"/>
                <w:b/>
                <w:sz w:val="20"/>
                <w:szCs w:val="20"/>
                <w:lang w:bidi="ta-IN"/>
              </w:rPr>
            </w:pPr>
            <w:r w:rsidRPr="00EF60CC">
              <w:rPr>
                <w:rFonts w:ascii="Book Antiqua" w:hAnsi="Book Antiqua" w:cs="Arial"/>
                <w:b/>
                <w:sz w:val="20"/>
                <w:szCs w:val="20"/>
                <w:lang w:bidi="ta-IN"/>
              </w:rPr>
              <w:t xml:space="preserve">Total exports </w:t>
            </w:r>
          </w:p>
        </w:tc>
        <w:tc>
          <w:tcPr>
            <w:tcW w:w="1514" w:type="dxa"/>
            <w:shd w:val="clear" w:color="auto" w:fill="C9C9C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899.0</w:t>
            </w:r>
          </w:p>
        </w:tc>
        <w:tc>
          <w:tcPr>
            <w:tcW w:w="1520" w:type="dxa"/>
            <w:shd w:val="clear" w:color="auto" w:fill="C9C9C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903.3</w:t>
            </w:r>
          </w:p>
        </w:tc>
        <w:tc>
          <w:tcPr>
            <w:tcW w:w="1247" w:type="dxa"/>
            <w:shd w:val="clear" w:color="auto" w:fill="C9C9C9"/>
            <w:noWrap/>
            <w:vAlign w:val="center"/>
          </w:tcPr>
          <w:p w:rsidR="00F02C98" w:rsidRPr="00EF60CC" w:rsidRDefault="00F02C98" w:rsidP="00EF60CC">
            <w:pPr>
              <w:jc w:val="right"/>
              <w:rPr>
                <w:rFonts w:ascii="Book Antiqua" w:hAnsi="Book Antiqua" w:cs="Arial"/>
                <w:b/>
                <w:bCs/>
                <w:sz w:val="20"/>
                <w:szCs w:val="20"/>
                <w:lang w:bidi="ta-IN"/>
              </w:rPr>
            </w:pPr>
            <w:r>
              <w:rPr>
                <w:rFonts w:ascii="Book Antiqua" w:hAnsi="Book Antiqua" w:cs="Arial"/>
                <w:b/>
                <w:bCs/>
                <w:sz w:val="20"/>
                <w:szCs w:val="20"/>
                <w:lang w:bidi="ta-IN"/>
              </w:rPr>
              <w:t>0.5</w:t>
            </w:r>
          </w:p>
        </w:tc>
      </w:tr>
    </w:tbl>
    <w:p w:rsidR="00F02C98" w:rsidRPr="00F02C98" w:rsidRDefault="00F02C98" w:rsidP="00F02C98">
      <w:pPr>
        <w:ind w:left="2880" w:firstLine="720"/>
        <w:rPr>
          <w:rFonts w:ascii="Book Antiqua" w:hAnsi="Book Antiqua"/>
          <w:sz w:val="16"/>
          <w:szCs w:val="16"/>
        </w:rPr>
      </w:pPr>
      <w:r w:rsidRPr="00F02C98">
        <w:rPr>
          <w:rFonts w:ascii="Book Antiqua" w:hAnsi="Book Antiqua"/>
          <w:sz w:val="16"/>
          <w:szCs w:val="16"/>
        </w:rPr>
        <w:t xml:space="preserve">Sources: </w:t>
      </w:r>
      <w:r w:rsidRPr="00F02C98">
        <w:rPr>
          <w:rFonts w:ascii="Book Antiqua" w:hAnsi="Book Antiqua"/>
          <w:sz w:val="16"/>
          <w:szCs w:val="16"/>
        </w:rPr>
        <w:tab/>
        <w:t>Ceylon Petroleum Corporation and Other Exporters of Petroleum</w:t>
      </w:r>
    </w:p>
    <w:p w:rsidR="00F02C98" w:rsidRPr="00F02C98" w:rsidRDefault="00F02C98" w:rsidP="00F02C98">
      <w:pPr>
        <w:ind w:left="1440"/>
        <w:rPr>
          <w:rFonts w:ascii="Book Antiqua" w:hAnsi="Book Antiqua"/>
          <w:sz w:val="16"/>
          <w:szCs w:val="16"/>
        </w:rPr>
      </w:pPr>
      <w:r w:rsidRPr="00F02C98">
        <w:rPr>
          <w:rFonts w:ascii="Book Antiqua" w:hAnsi="Book Antiqua"/>
          <w:sz w:val="16"/>
          <w:szCs w:val="16"/>
        </w:rPr>
        <w:t xml:space="preserve">      </w:t>
      </w:r>
      <w:r w:rsidRPr="00F02C98">
        <w:rPr>
          <w:rFonts w:ascii="Book Antiqua" w:hAnsi="Book Antiqua"/>
          <w:sz w:val="16"/>
          <w:szCs w:val="16"/>
        </w:rPr>
        <w:tab/>
        <w:t xml:space="preserve">     </w:t>
      </w:r>
      <w:r w:rsidRPr="00F02C98">
        <w:rPr>
          <w:rFonts w:ascii="Book Antiqua" w:hAnsi="Book Antiqua"/>
          <w:sz w:val="16"/>
          <w:szCs w:val="16"/>
        </w:rPr>
        <w:tab/>
      </w:r>
      <w:r w:rsidRPr="00F02C98">
        <w:rPr>
          <w:rFonts w:ascii="Book Antiqua" w:hAnsi="Book Antiqua"/>
          <w:sz w:val="16"/>
          <w:szCs w:val="16"/>
        </w:rPr>
        <w:tab/>
      </w:r>
      <w:r w:rsidRPr="00F02C98">
        <w:rPr>
          <w:rFonts w:ascii="Book Antiqua" w:hAnsi="Book Antiqua"/>
          <w:sz w:val="16"/>
          <w:szCs w:val="16"/>
        </w:rPr>
        <w:tab/>
        <w:t>National Gem and Jewellery Authority, Sri Lanka Customs</w:t>
      </w:r>
    </w:p>
    <w:p w:rsidR="00F02C98" w:rsidRPr="00F02C98" w:rsidRDefault="00F02C98" w:rsidP="00F02C98">
      <w:pPr>
        <w:ind w:left="3600" w:firstLine="720"/>
        <w:rPr>
          <w:rFonts w:ascii="Book Antiqua" w:hAnsi="Book Antiqua"/>
          <w:sz w:val="16"/>
          <w:szCs w:val="16"/>
        </w:rPr>
      </w:pPr>
      <w:r w:rsidRPr="00F02C98">
        <w:rPr>
          <w:rFonts w:ascii="Book Antiqua" w:hAnsi="Book Antiqua"/>
          <w:sz w:val="16"/>
          <w:szCs w:val="16"/>
        </w:rPr>
        <w:t>Central Bank of Sri Lanka</w:t>
      </w:r>
    </w:p>
    <w:p w:rsidR="009A1C9A" w:rsidRDefault="009A1C9A" w:rsidP="00B331A4">
      <w:pPr>
        <w:pStyle w:val="Default"/>
        <w:spacing w:before="240" w:after="120" w:line="360" w:lineRule="auto"/>
        <w:jc w:val="both"/>
        <w:rPr>
          <w:rFonts w:cs="Times New Roman"/>
          <w:b/>
          <w:color w:val="auto"/>
          <w:lang w:val="en-GB" w:bidi="ar-SA"/>
        </w:rPr>
      </w:pPr>
    </w:p>
    <w:p w:rsidR="00154A2D" w:rsidRDefault="00154A2D" w:rsidP="00B331A4">
      <w:pPr>
        <w:pStyle w:val="Default"/>
        <w:spacing w:before="240" w:after="120" w:line="360" w:lineRule="auto"/>
        <w:jc w:val="both"/>
        <w:rPr>
          <w:rFonts w:cs="Times New Roman"/>
          <w:b/>
          <w:color w:val="auto"/>
          <w:lang w:val="en-GB" w:bidi="ar-SA"/>
        </w:rPr>
      </w:pPr>
    </w:p>
    <w:p w:rsidR="009A1C9A" w:rsidRDefault="009A1C9A" w:rsidP="00B331A4">
      <w:pPr>
        <w:pStyle w:val="Default"/>
        <w:spacing w:before="240" w:after="120" w:line="360" w:lineRule="auto"/>
        <w:jc w:val="both"/>
        <w:rPr>
          <w:rFonts w:cs="Times New Roman"/>
          <w:b/>
          <w:color w:val="auto"/>
          <w:lang w:val="en-GB" w:bidi="ar-SA"/>
        </w:rPr>
      </w:pPr>
    </w:p>
    <w:p w:rsidR="00B331A4" w:rsidRPr="007352A6" w:rsidRDefault="00B331A4" w:rsidP="00B331A4">
      <w:pPr>
        <w:pStyle w:val="Default"/>
        <w:spacing w:before="240" w:after="120" w:line="360" w:lineRule="auto"/>
        <w:jc w:val="both"/>
        <w:rPr>
          <w:rFonts w:cs="Times New Roman"/>
          <w:b/>
          <w:color w:val="auto"/>
          <w:lang w:val="en-GB" w:bidi="ar-SA"/>
        </w:rPr>
      </w:pPr>
      <w:r w:rsidRPr="007352A6">
        <w:rPr>
          <w:rFonts w:cs="Times New Roman"/>
          <w:b/>
          <w:color w:val="auto"/>
          <w:lang w:val="en-GB" w:bidi="ar-SA"/>
        </w:rPr>
        <w:t>Import Performance</w:t>
      </w:r>
    </w:p>
    <w:p w:rsidR="00171C0D" w:rsidRDefault="009E2DB3" w:rsidP="00D67FA5">
      <w:pPr>
        <w:pStyle w:val="Default"/>
        <w:spacing w:after="120" w:line="360" w:lineRule="auto"/>
        <w:jc w:val="both"/>
        <w:rPr>
          <w:rFonts w:cs="Times New Roman"/>
          <w:color w:val="auto"/>
          <w:lang w:val="en-GB" w:bidi="ar-SA"/>
        </w:rPr>
      </w:pPr>
      <w:r w:rsidRPr="002E2D73">
        <w:rPr>
          <w:rFonts w:cs="Times New Roman"/>
          <w:b/>
          <w:bCs/>
          <w:color w:val="auto"/>
          <w:lang w:val="en-GB" w:bidi="ar-SA"/>
        </w:rPr>
        <w:t xml:space="preserve">Expenditure on imports </w:t>
      </w:r>
      <w:r w:rsidR="00B331A4" w:rsidRPr="002E2D73">
        <w:rPr>
          <w:rFonts w:cs="Times New Roman"/>
          <w:b/>
          <w:bCs/>
          <w:color w:val="auto"/>
          <w:lang w:val="en-GB" w:bidi="ar-SA"/>
        </w:rPr>
        <w:t xml:space="preserve">increased by </w:t>
      </w:r>
      <w:r w:rsidR="001C1EE8">
        <w:rPr>
          <w:rFonts w:cs="Times New Roman"/>
          <w:b/>
          <w:bCs/>
          <w:color w:val="auto"/>
          <w:lang w:val="en-GB" w:bidi="ar-SA"/>
        </w:rPr>
        <w:t>12.</w:t>
      </w:r>
      <w:r w:rsidR="003C5D6E">
        <w:rPr>
          <w:rFonts w:cs="Times New Roman"/>
          <w:b/>
          <w:bCs/>
          <w:color w:val="auto"/>
          <w:lang w:val="en-GB" w:bidi="ar-SA"/>
        </w:rPr>
        <w:t>2</w:t>
      </w:r>
      <w:r w:rsidR="00B331A4" w:rsidRPr="002E2D73">
        <w:rPr>
          <w:rFonts w:cs="Times New Roman"/>
          <w:b/>
          <w:bCs/>
          <w:color w:val="auto"/>
          <w:lang w:val="en-GB" w:bidi="ar-SA"/>
        </w:rPr>
        <w:t xml:space="preserve"> per cent</w:t>
      </w:r>
      <w:r w:rsidR="003952E3">
        <w:rPr>
          <w:rFonts w:cs="Times New Roman"/>
          <w:b/>
          <w:bCs/>
          <w:color w:val="auto"/>
          <w:lang w:val="en-GB" w:bidi="ar-SA"/>
        </w:rPr>
        <w:t>, year-on-year,</w:t>
      </w:r>
      <w:r w:rsidR="00B331A4" w:rsidRPr="002E2D73">
        <w:rPr>
          <w:rFonts w:cs="Times New Roman"/>
          <w:b/>
          <w:bCs/>
          <w:color w:val="auto"/>
          <w:lang w:val="en-GB" w:bidi="ar-SA"/>
        </w:rPr>
        <w:t xml:space="preserve"> to US dollars</w:t>
      </w:r>
      <w:r w:rsidR="002E2D73" w:rsidRPr="002E2D73">
        <w:rPr>
          <w:rFonts w:cs="Times New Roman"/>
          <w:b/>
          <w:bCs/>
          <w:color w:val="auto"/>
          <w:lang w:val="en-GB" w:bidi="ar-SA"/>
        </w:rPr>
        <w:t xml:space="preserve"> 1</w:t>
      </w:r>
      <w:r w:rsidR="00B331A4" w:rsidRPr="002E2D73">
        <w:rPr>
          <w:rFonts w:cs="Times New Roman"/>
          <w:b/>
          <w:bCs/>
          <w:color w:val="auto"/>
          <w:lang w:val="en-GB" w:bidi="ar-SA"/>
        </w:rPr>
        <w:t>,</w:t>
      </w:r>
      <w:r w:rsidR="001C1EE8">
        <w:rPr>
          <w:rFonts w:cs="Times New Roman"/>
          <w:b/>
          <w:bCs/>
          <w:color w:val="auto"/>
          <w:lang w:val="en-GB" w:bidi="ar-SA"/>
        </w:rPr>
        <w:t>66</w:t>
      </w:r>
      <w:r w:rsidR="003C5D6E">
        <w:rPr>
          <w:rFonts w:cs="Times New Roman"/>
          <w:b/>
          <w:bCs/>
          <w:color w:val="auto"/>
          <w:lang w:val="en-GB" w:bidi="ar-SA"/>
        </w:rPr>
        <w:t>7</w:t>
      </w:r>
      <w:r w:rsidRPr="002E2D73">
        <w:rPr>
          <w:rFonts w:cs="Times New Roman"/>
          <w:b/>
          <w:bCs/>
          <w:color w:val="auto"/>
          <w:lang w:val="en-GB" w:bidi="ar-SA"/>
        </w:rPr>
        <w:t xml:space="preserve"> million in </w:t>
      </w:r>
      <w:r w:rsidR="001C1EE8">
        <w:rPr>
          <w:rFonts w:cs="Times New Roman"/>
          <w:b/>
          <w:bCs/>
          <w:color w:val="auto"/>
          <w:lang w:val="en-GB" w:bidi="ar-SA"/>
        </w:rPr>
        <w:t>September</w:t>
      </w:r>
      <w:r w:rsidR="00B331A4" w:rsidRPr="002E2D73">
        <w:rPr>
          <w:rFonts w:cs="Times New Roman"/>
          <w:b/>
          <w:bCs/>
          <w:color w:val="auto"/>
          <w:lang w:val="en-GB" w:bidi="ar-SA"/>
        </w:rPr>
        <w:t xml:space="preserve"> 2014</w:t>
      </w:r>
      <w:r w:rsidR="006D5019">
        <w:rPr>
          <w:rFonts w:cs="Times New Roman"/>
          <w:b/>
          <w:bCs/>
          <w:color w:val="auto"/>
          <w:lang w:val="en-GB" w:bidi="ar-SA"/>
        </w:rPr>
        <w:t xml:space="preserve">, while on a cumulative basis, imports grew by </w:t>
      </w:r>
      <w:r w:rsidR="001C1EE8">
        <w:rPr>
          <w:rFonts w:cs="Times New Roman"/>
          <w:b/>
          <w:bCs/>
          <w:color w:val="auto"/>
          <w:lang w:val="en-GB" w:bidi="ar-SA"/>
        </w:rPr>
        <w:t>5.</w:t>
      </w:r>
      <w:r w:rsidR="003C5D6E">
        <w:rPr>
          <w:rFonts w:cs="Times New Roman"/>
          <w:b/>
          <w:bCs/>
          <w:color w:val="auto"/>
          <w:lang w:val="en-GB" w:bidi="ar-SA"/>
        </w:rPr>
        <w:t>4</w:t>
      </w:r>
      <w:r w:rsidR="006D5019">
        <w:rPr>
          <w:rFonts w:cs="Times New Roman"/>
          <w:b/>
          <w:bCs/>
          <w:color w:val="auto"/>
          <w:lang w:val="en-GB" w:bidi="ar-SA"/>
        </w:rPr>
        <w:t xml:space="preserve"> per cent to </w:t>
      </w:r>
      <w:r w:rsidR="006D5019" w:rsidRPr="006D5019">
        <w:rPr>
          <w:rFonts w:cs="Times New Roman"/>
          <w:b/>
          <w:bCs/>
          <w:color w:val="auto"/>
          <w:lang w:val="en-GB" w:bidi="ar-SA"/>
        </w:rPr>
        <w:t xml:space="preserve">US dollars </w:t>
      </w:r>
      <w:r w:rsidR="001C1EE8">
        <w:rPr>
          <w:rFonts w:cs="Times New Roman"/>
          <w:b/>
          <w:bCs/>
          <w:color w:val="auto"/>
          <w:lang w:val="en-GB" w:bidi="ar-SA"/>
        </w:rPr>
        <w:t>14,22</w:t>
      </w:r>
      <w:r w:rsidR="003C5D6E">
        <w:rPr>
          <w:rFonts w:cs="Times New Roman"/>
          <w:b/>
          <w:bCs/>
          <w:color w:val="auto"/>
          <w:lang w:val="en-GB" w:bidi="ar-SA"/>
        </w:rPr>
        <w:t>2</w:t>
      </w:r>
      <w:r w:rsidR="006D5019" w:rsidRPr="006D5019">
        <w:rPr>
          <w:rFonts w:cs="Times New Roman"/>
          <w:b/>
          <w:bCs/>
          <w:color w:val="auto"/>
          <w:lang w:val="en-GB" w:bidi="ar-SA"/>
        </w:rPr>
        <w:t xml:space="preserve"> million during the first </w:t>
      </w:r>
      <w:r w:rsidR="001C1EE8">
        <w:rPr>
          <w:rFonts w:cs="Times New Roman"/>
          <w:b/>
          <w:bCs/>
          <w:color w:val="auto"/>
          <w:lang w:val="en-GB" w:bidi="ar-SA"/>
        </w:rPr>
        <w:t>nine</w:t>
      </w:r>
      <w:r w:rsidR="006D5019" w:rsidRPr="006D5019">
        <w:rPr>
          <w:rFonts w:cs="Times New Roman"/>
          <w:b/>
          <w:bCs/>
          <w:color w:val="auto"/>
          <w:lang w:val="en-GB" w:bidi="ar-SA"/>
        </w:rPr>
        <w:t xml:space="preserve"> months of 2014. </w:t>
      </w:r>
      <w:r w:rsidR="006D5019" w:rsidRPr="006D5019">
        <w:rPr>
          <w:rFonts w:cs="Times New Roman"/>
          <w:color w:val="auto"/>
          <w:lang w:val="en-GB" w:bidi="ar-SA"/>
        </w:rPr>
        <w:t>The increase</w:t>
      </w:r>
      <w:r w:rsidR="006D5019">
        <w:rPr>
          <w:rFonts w:cs="Times New Roman"/>
          <w:color w:val="auto"/>
          <w:lang w:val="en-GB" w:bidi="ar-SA"/>
        </w:rPr>
        <w:t xml:space="preserve"> i</w:t>
      </w:r>
      <w:r w:rsidR="00323962">
        <w:rPr>
          <w:rFonts w:cs="Times New Roman"/>
          <w:color w:val="auto"/>
          <w:lang w:val="en-GB" w:bidi="ar-SA"/>
        </w:rPr>
        <w:t xml:space="preserve">n import expenditure in </w:t>
      </w:r>
      <w:r w:rsidR="001C1EE8">
        <w:rPr>
          <w:rFonts w:cs="Times New Roman"/>
          <w:color w:val="auto"/>
          <w:lang w:val="en-GB" w:bidi="ar-SA"/>
        </w:rPr>
        <w:t>September</w:t>
      </w:r>
      <w:r w:rsidR="009537E1">
        <w:rPr>
          <w:rFonts w:cs="Times New Roman"/>
          <w:color w:val="auto"/>
          <w:lang w:val="en-GB" w:bidi="ar-SA"/>
        </w:rPr>
        <w:t xml:space="preserve"> 2014</w:t>
      </w:r>
      <w:r w:rsidR="0019216F">
        <w:rPr>
          <w:rFonts w:cs="Times New Roman"/>
          <w:color w:val="auto"/>
          <w:lang w:val="en-GB" w:bidi="ar-SA"/>
        </w:rPr>
        <w:t xml:space="preserve"> was</w:t>
      </w:r>
      <w:r w:rsidR="006D5019" w:rsidRPr="006D5019">
        <w:rPr>
          <w:rFonts w:cs="Times New Roman"/>
          <w:color w:val="auto"/>
          <w:lang w:val="en-GB" w:bidi="ar-SA"/>
        </w:rPr>
        <w:t xml:space="preserve"> mainly</w:t>
      </w:r>
      <w:r w:rsidR="002E2D73" w:rsidRPr="006D5019">
        <w:rPr>
          <w:rFonts w:cs="Times New Roman"/>
          <w:color w:val="auto"/>
          <w:lang w:val="en-GB" w:bidi="ar-SA"/>
        </w:rPr>
        <w:t xml:space="preserve"> due to</w:t>
      </w:r>
      <w:r w:rsidR="00323962">
        <w:rPr>
          <w:rFonts w:cs="Times New Roman"/>
          <w:color w:val="auto"/>
          <w:lang w:val="en-GB" w:bidi="ar-SA"/>
        </w:rPr>
        <w:t xml:space="preserve"> the</w:t>
      </w:r>
      <w:r w:rsidR="002E2D73" w:rsidRPr="006D5019">
        <w:rPr>
          <w:rFonts w:cs="Times New Roman"/>
          <w:color w:val="auto"/>
          <w:lang w:val="en-GB" w:bidi="ar-SA"/>
        </w:rPr>
        <w:t xml:space="preserve"> </w:t>
      </w:r>
      <w:r w:rsidR="001C1EE8">
        <w:rPr>
          <w:rFonts w:cs="Times New Roman"/>
          <w:color w:val="auto"/>
          <w:lang w:val="en-GB" w:bidi="ar-SA"/>
        </w:rPr>
        <w:t>significant increase in import</w:t>
      </w:r>
      <w:r w:rsidR="005D73D0">
        <w:rPr>
          <w:rFonts w:cs="Times New Roman"/>
          <w:color w:val="auto"/>
          <w:lang w:val="en-GB" w:bidi="ar-SA"/>
        </w:rPr>
        <w:t>s</w:t>
      </w:r>
      <w:r w:rsidR="001C1EE8">
        <w:rPr>
          <w:rFonts w:cs="Times New Roman"/>
          <w:color w:val="auto"/>
          <w:lang w:val="en-GB" w:bidi="ar-SA"/>
        </w:rPr>
        <w:t xml:space="preserve"> of transport equipment particularly </w:t>
      </w:r>
      <w:r w:rsidR="00171C0D">
        <w:rPr>
          <w:rFonts w:cs="Times New Roman"/>
          <w:color w:val="auto"/>
          <w:lang w:val="en-GB" w:bidi="ar-SA"/>
        </w:rPr>
        <w:t xml:space="preserve">a </w:t>
      </w:r>
      <w:r w:rsidR="00663257">
        <w:rPr>
          <w:rFonts w:cs="Times New Roman"/>
          <w:color w:val="auto"/>
          <w:lang w:val="en-GB" w:bidi="ar-SA"/>
        </w:rPr>
        <w:t>dredger vessel</w:t>
      </w:r>
      <w:r w:rsidR="001C1EE8">
        <w:rPr>
          <w:rFonts w:cs="Times New Roman"/>
          <w:color w:val="auto"/>
          <w:lang w:val="en-GB" w:bidi="ar-SA"/>
        </w:rPr>
        <w:t xml:space="preserve"> </w:t>
      </w:r>
      <w:r w:rsidR="005D73D0">
        <w:rPr>
          <w:rFonts w:cs="Times New Roman"/>
          <w:color w:val="auto"/>
          <w:lang w:val="en-GB" w:bidi="ar-SA"/>
        </w:rPr>
        <w:t>followed by imports of vehicles such as motor cycles and motor cars for personal use. Further, rice imports also increased significantly during the month as a result of a shortfall in domestic rice production during the year</w:t>
      </w:r>
      <w:r w:rsidR="00107261">
        <w:rPr>
          <w:rFonts w:cs="Times New Roman"/>
          <w:color w:val="auto"/>
          <w:lang w:val="en-GB" w:bidi="ar-SA"/>
        </w:rPr>
        <w:t xml:space="preserve">. However, the expenditure on fuel imports declined significantly </w:t>
      </w:r>
      <w:r w:rsidR="002F79E0">
        <w:rPr>
          <w:rFonts w:cs="Times New Roman"/>
          <w:color w:val="auto"/>
          <w:lang w:val="en-GB" w:bidi="ar-SA"/>
        </w:rPr>
        <w:t xml:space="preserve">during the month </w:t>
      </w:r>
      <w:r w:rsidR="00107261">
        <w:rPr>
          <w:rFonts w:cs="Times New Roman"/>
          <w:color w:val="auto"/>
          <w:lang w:val="en-GB" w:bidi="ar-SA"/>
        </w:rPr>
        <w:t>due to</w:t>
      </w:r>
      <w:r w:rsidR="003C5D6E">
        <w:rPr>
          <w:rFonts w:cs="Times New Roman"/>
          <w:color w:val="auto"/>
          <w:lang w:val="en-GB" w:bidi="ar-SA"/>
        </w:rPr>
        <w:t xml:space="preserve"> a</w:t>
      </w:r>
      <w:r w:rsidR="00107261">
        <w:rPr>
          <w:rFonts w:cs="Times New Roman"/>
          <w:color w:val="auto"/>
          <w:lang w:val="en-GB" w:bidi="ar-SA"/>
        </w:rPr>
        <w:t xml:space="preserve"> sharp reduction in crude oil imports</w:t>
      </w:r>
      <w:r w:rsidR="003C5D6E">
        <w:rPr>
          <w:rFonts w:cs="Times New Roman"/>
          <w:color w:val="auto"/>
          <w:lang w:val="en-GB" w:bidi="ar-SA"/>
        </w:rPr>
        <w:t xml:space="preserve"> as the available crude oil stocks were used for the refineries during the month.</w:t>
      </w:r>
      <w:r w:rsidR="00107261">
        <w:rPr>
          <w:rFonts w:cs="Times New Roman"/>
          <w:color w:val="auto"/>
          <w:lang w:val="en-GB" w:bidi="ar-SA"/>
        </w:rPr>
        <w:t xml:space="preserve"> As </w:t>
      </w:r>
      <w:r w:rsidR="007D1B5D">
        <w:rPr>
          <w:rFonts w:cs="Times New Roman"/>
          <w:color w:val="auto"/>
          <w:lang w:val="en-GB" w:bidi="ar-SA"/>
        </w:rPr>
        <w:t xml:space="preserve">a </w:t>
      </w:r>
      <w:r w:rsidR="00107261">
        <w:rPr>
          <w:rFonts w:cs="Times New Roman"/>
          <w:color w:val="auto"/>
          <w:lang w:val="en-GB" w:bidi="ar-SA"/>
        </w:rPr>
        <w:t xml:space="preserve">result </w:t>
      </w:r>
      <w:r w:rsidR="007D1B5D">
        <w:rPr>
          <w:rFonts w:cs="Times New Roman"/>
          <w:color w:val="auto"/>
          <w:lang w:val="en-GB" w:bidi="ar-SA"/>
        </w:rPr>
        <w:t>of substantial decline in volume of fertiliser imports</w:t>
      </w:r>
      <w:r w:rsidR="008A1573">
        <w:rPr>
          <w:rFonts w:cs="Times New Roman"/>
          <w:color w:val="auto"/>
          <w:lang w:val="en-GB" w:bidi="ar-SA"/>
        </w:rPr>
        <w:t>,</w:t>
      </w:r>
      <w:r w:rsidR="007D1B5D">
        <w:rPr>
          <w:rFonts w:cs="Times New Roman"/>
          <w:color w:val="auto"/>
          <w:lang w:val="en-GB" w:bidi="ar-SA"/>
        </w:rPr>
        <w:t xml:space="preserve"> the import expenditure on fertiliser declined during the month. </w:t>
      </w:r>
      <w:r w:rsidR="00171C0D">
        <w:rPr>
          <w:rFonts w:cs="Times New Roman"/>
          <w:color w:val="auto"/>
          <w:lang w:val="en-GB" w:bidi="ar-SA"/>
        </w:rPr>
        <w:t>T</w:t>
      </w:r>
      <w:r w:rsidR="00663257">
        <w:rPr>
          <w:rFonts w:cs="Times New Roman"/>
          <w:color w:val="auto"/>
          <w:lang w:val="en-GB" w:bidi="ar-SA"/>
        </w:rPr>
        <w:t xml:space="preserve">he import expenditure on investment goods </w:t>
      </w:r>
      <w:r w:rsidR="00171C0D">
        <w:rPr>
          <w:rFonts w:cs="Times New Roman"/>
          <w:color w:val="auto"/>
          <w:lang w:val="en-GB" w:bidi="ar-SA"/>
        </w:rPr>
        <w:t xml:space="preserve">showed a broad based increase except the decline in imports of </w:t>
      </w:r>
      <w:r w:rsidR="00107261">
        <w:rPr>
          <w:rFonts w:cs="Times New Roman"/>
          <w:color w:val="auto"/>
          <w:lang w:val="en-GB" w:bidi="ar-SA"/>
        </w:rPr>
        <w:t xml:space="preserve">machinery and equipment due </w:t>
      </w:r>
      <w:r w:rsidR="00525242">
        <w:rPr>
          <w:rFonts w:cs="Times New Roman"/>
          <w:color w:val="auto"/>
          <w:lang w:val="en-GB" w:bidi="ar-SA"/>
        </w:rPr>
        <w:t xml:space="preserve">to </w:t>
      </w:r>
      <w:r w:rsidR="00171C0D">
        <w:rPr>
          <w:rFonts w:cs="Times New Roman"/>
          <w:color w:val="auto"/>
          <w:lang w:val="en-GB" w:bidi="ar-SA"/>
        </w:rPr>
        <w:t xml:space="preserve">lower </w:t>
      </w:r>
      <w:r w:rsidR="007D1B5D">
        <w:rPr>
          <w:rFonts w:cs="Times New Roman"/>
          <w:color w:val="auto"/>
          <w:lang w:val="en-GB" w:bidi="ar-SA"/>
        </w:rPr>
        <w:t>i</w:t>
      </w:r>
      <w:r w:rsidR="00171C0D">
        <w:rPr>
          <w:rFonts w:cs="Times New Roman"/>
          <w:color w:val="auto"/>
          <w:lang w:val="en-GB" w:bidi="ar-SA"/>
        </w:rPr>
        <w:t>mports of engineering equipment.</w:t>
      </w:r>
    </w:p>
    <w:p w:rsidR="00D67FA5" w:rsidRDefault="00D67FA5" w:rsidP="00D67FA5">
      <w:pPr>
        <w:pStyle w:val="Default"/>
        <w:spacing w:after="120" w:line="360" w:lineRule="auto"/>
        <w:jc w:val="both"/>
        <w:rPr>
          <w:color w:val="auto"/>
        </w:rPr>
      </w:pPr>
      <w:r>
        <w:rPr>
          <w:rFonts w:cs="Times New Roman"/>
          <w:color w:val="auto"/>
          <w:lang w:val="en-GB" w:bidi="ar-SA"/>
        </w:rPr>
        <w:t xml:space="preserve">During the first </w:t>
      </w:r>
      <w:r w:rsidR="00525242">
        <w:rPr>
          <w:rFonts w:cs="Times New Roman"/>
          <w:color w:val="auto"/>
          <w:lang w:val="en-GB" w:bidi="ar-SA"/>
        </w:rPr>
        <w:t>nine</w:t>
      </w:r>
      <w:r>
        <w:rPr>
          <w:rFonts w:cs="Times New Roman"/>
          <w:color w:val="auto"/>
          <w:lang w:val="en-GB" w:bidi="ar-SA"/>
        </w:rPr>
        <w:t xml:space="preserve"> months of 2014, t</w:t>
      </w:r>
      <w:r>
        <w:rPr>
          <w:color w:val="auto"/>
        </w:rPr>
        <w:t xml:space="preserve">he main import origins were India, China, UAE, Singapore and Japan accounting for </w:t>
      </w:r>
      <w:r w:rsidR="00F36F3A">
        <w:rPr>
          <w:color w:val="auto"/>
        </w:rPr>
        <w:t>about</w:t>
      </w:r>
      <w:r>
        <w:rPr>
          <w:color w:val="auto"/>
        </w:rPr>
        <w:t xml:space="preserve"> 60 per cent of total imports. </w:t>
      </w:r>
    </w:p>
    <w:p w:rsidR="00525242" w:rsidRDefault="00525242" w:rsidP="00E33891">
      <w:pPr>
        <w:pStyle w:val="Default"/>
        <w:spacing w:after="120" w:line="360" w:lineRule="auto"/>
        <w:jc w:val="center"/>
        <w:rPr>
          <w:rFonts w:cs="Times New Roman"/>
          <w:b/>
          <w:color w:val="auto"/>
          <w:lang w:val="en-GB" w:bidi="ar-SA"/>
        </w:rPr>
      </w:pPr>
    </w:p>
    <w:p w:rsidR="00E33891" w:rsidRPr="004211BD" w:rsidRDefault="00D770A9" w:rsidP="00E33891">
      <w:pPr>
        <w:pStyle w:val="Default"/>
        <w:spacing w:after="120" w:line="360" w:lineRule="auto"/>
        <w:jc w:val="center"/>
        <w:rPr>
          <w:rFonts w:cs="Times New Roman"/>
          <w:b/>
          <w:color w:val="auto"/>
          <w:lang w:val="en-GB" w:bidi="ar-SA"/>
        </w:rPr>
      </w:pPr>
      <w:r>
        <w:rPr>
          <w:noProof/>
        </w:rPr>
        <w:drawing>
          <wp:anchor distT="0" distB="0" distL="114300" distR="114300" simplePos="0" relativeHeight="251658240" behindDoc="0" locked="0" layoutInCell="1" allowOverlap="1">
            <wp:simplePos x="0" y="0"/>
            <wp:positionH relativeFrom="column">
              <wp:posOffset>-361950</wp:posOffset>
            </wp:positionH>
            <wp:positionV relativeFrom="paragraph">
              <wp:posOffset>483235</wp:posOffset>
            </wp:positionV>
            <wp:extent cx="3314700" cy="1951355"/>
            <wp:effectExtent l="0" t="0" r="0" b="3810"/>
            <wp:wrapTight wrapText="bothSides">
              <wp:wrapPolygon edited="0">
                <wp:start x="186" y="527"/>
                <wp:lineTo x="186" y="20967"/>
                <wp:lineTo x="21352" y="20967"/>
                <wp:lineTo x="21352" y="527"/>
                <wp:lineTo x="186" y="527"/>
              </wp:wrapPolygon>
            </wp:wrapTight>
            <wp:docPr id="4"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noProof/>
        </w:rPr>
        <w:drawing>
          <wp:anchor distT="0" distB="0" distL="114300" distR="114300" simplePos="0" relativeHeight="251659264" behindDoc="0" locked="0" layoutInCell="1" allowOverlap="1">
            <wp:simplePos x="0" y="0"/>
            <wp:positionH relativeFrom="column">
              <wp:posOffset>3038475</wp:posOffset>
            </wp:positionH>
            <wp:positionV relativeFrom="paragraph">
              <wp:posOffset>483235</wp:posOffset>
            </wp:positionV>
            <wp:extent cx="3298190" cy="1964690"/>
            <wp:effectExtent l="0" t="0" r="0" b="0"/>
            <wp:wrapTight wrapText="bothSides">
              <wp:wrapPolygon edited="0">
                <wp:start x="187" y="524"/>
                <wp:lineTo x="187" y="20965"/>
                <wp:lineTo x="21350" y="20965"/>
                <wp:lineTo x="21350" y="524"/>
                <wp:lineTo x="187" y="524"/>
              </wp:wrapPolygon>
            </wp:wrapTight>
            <wp:docPr id="3"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155342">
        <w:rPr>
          <w:rFonts w:cs="Times New Roman"/>
          <w:b/>
          <w:color w:val="auto"/>
          <w:lang w:val="en-GB" w:bidi="ar-SA"/>
        </w:rPr>
        <w:t xml:space="preserve">Figure 1: </w:t>
      </w:r>
      <w:r w:rsidR="00E33891">
        <w:rPr>
          <w:rFonts w:cs="Times New Roman"/>
          <w:b/>
          <w:color w:val="auto"/>
          <w:lang w:val="en-GB" w:bidi="ar-SA"/>
        </w:rPr>
        <w:t>Export and Im</w:t>
      </w:r>
      <w:r w:rsidR="00E33891" w:rsidRPr="004211BD">
        <w:rPr>
          <w:rFonts w:cs="Times New Roman"/>
          <w:b/>
          <w:color w:val="auto"/>
          <w:lang w:val="en-GB" w:bidi="ar-SA"/>
        </w:rPr>
        <w:t>port</w:t>
      </w:r>
      <w:r w:rsidR="00CB13A4">
        <w:rPr>
          <w:rFonts w:cs="Times New Roman"/>
          <w:b/>
          <w:color w:val="auto"/>
          <w:lang w:val="en-GB" w:bidi="ar-SA"/>
        </w:rPr>
        <w:t xml:space="preserve"> Performance</w:t>
      </w:r>
    </w:p>
    <w:p w:rsidR="00D41474" w:rsidRDefault="00D41474" w:rsidP="00D67FA5">
      <w:pPr>
        <w:pStyle w:val="Default"/>
        <w:spacing w:after="120" w:line="360" w:lineRule="auto"/>
        <w:jc w:val="both"/>
        <w:rPr>
          <w:color w:val="auto"/>
        </w:rPr>
      </w:pPr>
    </w:p>
    <w:p w:rsidR="00D41474" w:rsidRDefault="00D41474" w:rsidP="00D67FA5">
      <w:pPr>
        <w:pStyle w:val="Default"/>
        <w:spacing w:after="120" w:line="360" w:lineRule="auto"/>
        <w:jc w:val="both"/>
        <w:rPr>
          <w:color w:val="auto"/>
        </w:rPr>
      </w:pPr>
    </w:p>
    <w:p w:rsidR="00C3760D" w:rsidRDefault="00C3760D" w:rsidP="00D67FA5">
      <w:pPr>
        <w:pStyle w:val="Default"/>
        <w:spacing w:after="120" w:line="360" w:lineRule="auto"/>
        <w:jc w:val="both"/>
        <w:rPr>
          <w:color w:val="auto"/>
        </w:rPr>
      </w:pPr>
    </w:p>
    <w:p w:rsidR="00596C07" w:rsidRDefault="00596C07" w:rsidP="00596C07">
      <w:pPr>
        <w:pStyle w:val="Default"/>
        <w:spacing w:after="120" w:line="360" w:lineRule="auto"/>
        <w:jc w:val="center"/>
        <w:rPr>
          <w:rFonts w:cs="Times New Roman"/>
          <w:b/>
          <w:bCs/>
          <w:lang w:val="en-GB"/>
        </w:rPr>
      </w:pPr>
    </w:p>
    <w:p w:rsidR="00596C07" w:rsidRDefault="00596C07" w:rsidP="00596C07">
      <w:pPr>
        <w:pStyle w:val="Default"/>
        <w:spacing w:after="120" w:line="360" w:lineRule="auto"/>
        <w:jc w:val="center"/>
        <w:rPr>
          <w:rFonts w:cs="Times New Roman"/>
          <w:b/>
          <w:bCs/>
          <w:lang w:val="en-GB"/>
        </w:rPr>
      </w:pPr>
      <w:r>
        <w:rPr>
          <w:rFonts w:cs="Times New Roman"/>
          <w:b/>
          <w:bCs/>
          <w:lang w:val="en-GB"/>
        </w:rPr>
        <w:t>Table 2</w:t>
      </w:r>
      <w:r w:rsidRPr="00CE29C8">
        <w:rPr>
          <w:rFonts w:cs="Times New Roman"/>
          <w:b/>
          <w:bCs/>
          <w:lang w:val="en-GB"/>
        </w:rPr>
        <w:t xml:space="preserve">. </w:t>
      </w:r>
      <w:r>
        <w:rPr>
          <w:rFonts w:cs="Times New Roman"/>
          <w:b/>
          <w:bCs/>
          <w:lang w:val="en-GB"/>
        </w:rPr>
        <w:t>Expenditure on Imports</w:t>
      </w:r>
    </w:p>
    <w:tbl>
      <w:tblPr>
        <w:tblW w:w="923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tblPr>
      <w:tblGrid>
        <w:gridCol w:w="4379"/>
        <w:gridCol w:w="1632"/>
        <w:gridCol w:w="1612"/>
        <w:gridCol w:w="1612"/>
      </w:tblGrid>
      <w:tr w:rsidR="00BD4F91" w:rsidRPr="00E33891" w:rsidTr="00BD4F91">
        <w:trPr>
          <w:trHeight w:val="522"/>
        </w:trPr>
        <w:tc>
          <w:tcPr>
            <w:tcW w:w="4379" w:type="dxa"/>
            <w:tcBorders>
              <w:bottom w:val="single" w:sz="6" w:space="0" w:color="FFFFFF"/>
            </w:tcBorders>
            <w:shd w:val="clear" w:color="auto" w:fill="C9C9C9"/>
            <w:vAlign w:val="center"/>
          </w:tcPr>
          <w:p w:rsidR="00BD4F91" w:rsidRPr="00E33891" w:rsidRDefault="00BD4F91" w:rsidP="009706E5">
            <w:pPr>
              <w:spacing w:before="120"/>
              <w:jc w:val="center"/>
              <w:rPr>
                <w:rFonts w:ascii="Book Antiqua" w:hAnsi="Book Antiqua" w:cs="Arial"/>
                <w:b/>
                <w:bCs/>
                <w:sz w:val="20"/>
                <w:szCs w:val="20"/>
                <w:lang w:bidi="ta-IN"/>
              </w:rPr>
            </w:pPr>
            <w:r w:rsidRPr="00E33891">
              <w:rPr>
                <w:rFonts w:ascii="Book Antiqua" w:hAnsi="Book Antiqua" w:cs="Arial"/>
                <w:b/>
                <w:bCs/>
                <w:sz w:val="20"/>
                <w:szCs w:val="20"/>
                <w:lang w:bidi="ta-IN"/>
              </w:rPr>
              <w:t>Category</w:t>
            </w:r>
          </w:p>
        </w:tc>
        <w:tc>
          <w:tcPr>
            <w:tcW w:w="1632" w:type="dxa"/>
            <w:tcBorders>
              <w:bottom w:val="single" w:sz="6" w:space="0" w:color="FFFFFF"/>
            </w:tcBorders>
            <w:shd w:val="clear" w:color="auto" w:fill="C9C9C9"/>
          </w:tcPr>
          <w:p w:rsidR="00BD4F91" w:rsidRDefault="00BD4F91" w:rsidP="009706E5">
            <w:pPr>
              <w:spacing w:before="120"/>
              <w:jc w:val="center"/>
              <w:rPr>
                <w:rFonts w:ascii="Book Antiqua" w:hAnsi="Book Antiqua" w:cs="Arial"/>
                <w:b/>
                <w:bCs/>
                <w:sz w:val="20"/>
                <w:szCs w:val="20"/>
                <w:lang w:bidi="ta-IN"/>
              </w:rPr>
            </w:pPr>
            <w:r>
              <w:rPr>
                <w:rFonts w:ascii="Book Antiqua" w:hAnsi="Book Antiqua" w:cs="Arial"/>
                <w:b/>
                <w:bCs/>
                <w:sz w:val="20"/>
                <w:szCs w:val="20"/>
                <w:lang w:bidi="ta-IN"/>
              </w:rPr>
              <w:t>September</w:t>
            </w:r>
            <w:r w:rsidRPr="008C4CBC">
              <w:rPr>
                <w:rFonts w:ascii="Book Antiqua" w:hAnsi="Book Antiqua" w:cs="Arial"/>
                <w:b/>
                <w:bCs/>
                <w:sz w:val="20"/>
                <w:szCs w:val="20"/>
                <w:lang w:bidi="ta-IN"/>
              </w:rPr>
              <w:t xml:space="preserve"> </w:t>
            </w:r>
          </w:p>
          <w:p w:rsidR="00BD4F91" w:rsidRPr="008C4CBC" w:rsidRDefault="00BD4F91" w:rsidP="009706E5">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2013</w:t>
            </w:r>
          </w:p>
          <w:p w:rsidR="00BD4F91" w:rsidRPr="008C4CBC" w:rsidRDefault="00BD4F91" w:rsidP="009706E5">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(USD mn)</w:t>
            </w:r>
          </w:p>
        </w:tc>
        <w:tc>
          <w:tcPr>
            <w:tcW w:w="1612" w:type="dxa"/>
            <w:tcBorders>
              <w:bottom w:val="single" w:sz="6" w:space="0" w:color="FFFFFF"/>
            </w:tcBorders>
            <w:shd w:val="clear" w:color="auto" w:fill="C9C9C9"/>
          </w:tcPr>
          <w:p w:rsidR="00BD4F91" w:rsidRDefault="00BD4F91" w:rsidP="009706E5">
            <w:pPr>
              <w:spacing w:before="120"/>
              <w:jc w:val="center"/>
              <w:rPr>
                <w:rFonts w:ascii="Book Antiqua" w:hAnsi="Book Antiqua" w:cs="Arial"/>
                <w:b/>
                <w:bCs/>
                <w:sz w:val="20"/>
                <w:szCs w:val="20"/>
                <w:lang w:bidi="ta-IN"/>
              </w:rPr>
            </w:pPr>
            <w:r>
              <w:rPr>
                <w:rFonts w:ascii="Book Antiqua" w:hAnsi="Book Antiqua" w:cs="Arial"/>
                <w:b/>
                <w:bCs/>
                <w:sz w:val="20"/>
                <w:szCs w:val="20"/>
                <w:lang w:bidi="ta-IN"/>
              </w:rPr>
              <w:t>September</w:t>
            </w:r>
          </w:p>
          <w:p w:rsidR="00BD4F91" w:rsidRPr="008C4CBC" w:rsidRDefault="00BD4F91" w:rsidP="009706E5">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2014</w:t>
            </w:r>
          </w:p>
          <w:p w:rsidR="00BD4F91" w:rsidRPr="008C4CBC" w:rsidRDefault="00BD4F91" w:rsidP="009706E5">
            <w:pPr>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(USD mn)</w:t>
            </w:r>
          </w:p>
        </w:tc>
        <w:tc>
          <w:tcPr>
            <w:tcW w:w="1612" w:type="dxa"/>
            <w:tcBorders>
              <w:bottom w:val="single" w:sz="6" w:space="0" w:color="FFFFFF"/>
            </w:tcBorders>
            <w:shd w:val="clear" w:color="auto" w:fill="C9C9C9"/>
          </w:tcPr>
          <w:p w:rsidR="00BD4F91" w:rsidRDefault="00BD4F91" w:rsidP="00596C07">
            <w:pPr>
              <w:tabs>
                <w:tab w:val="center" w:pos="574"/>
              </w:tabs>
              <w:spacing w:before="120"/>
              <w:rPr>
                <w:rFonts w:ascii="Book Antiqua" w:hAnsi="Book Antiqua" w:cs="Arial"/>
                <w:b/>
                <w:bCs/>
                <w:sz w:val="20"/>
                <w:szCs w:val="20"/>
                <w:lang w:bidi="ta-IN"/>
              </w:rPr>
            </w:pPr>
          </w:p>
          <w:p w:rsidR="00BD4F91" w:rsidRDefault="00BD4F91" w:rsidP="00596C07">
            <w:pPr>
              <w:tabs>
                <w:tab w:val="center" w:pos="574"/>
              </w:tabs>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Growth</w:t>
            </w:r>
          </w:p>
          <w:p w:rsidR="00BD4F91" w:rsidRPr="008C4CBC" w:rsidRDefault="00BD4F91" w:rsidP="00596C07">
            <w:pPr>
              <w:tabs>
                <w:tab w:val="center" w:pos="574"/>
              </w:tabs>
              <w:spacing w:before="120"/>
              <w:jc w:val="center"/>
              <w:rPr>
                <w:rFonts w:ascii="Book Antiqua" w:hAnsi="Book Antiqua" w:cs="Arial"/>
                <w:b/>
                <w:bCs/>
                <w:sz w:val="20"/>
                <w:szCs w:val="20"/>
                <w:lang w:bidi="ta-IN"/>
              </w:rPr>
            </w:pPr>
            <w:r w:rsidRPr="008C4CBC">
              <w:rPr>
                <w:rFonts w:ascii="Book Antiqua" w:hAnsi="Book Antiqua" w:cs="Arial"/>
                <w:b/>
                <w:bCs/>
                <w:sz w:val="20"/>
                <w:szCs w:val="20"/>
                <w:lang w:bidi="ta-IN"/>
              </w:rPr>
              <w:t>(%)</w:t>
            </w:r>
          </w:p>
        </w:tc>
      </w:tr>
      <w:tr w:rsidR="00BD4F91" w:rsidRPr="00E33891" w:rsidTr="00BD4F91">
        <w:trPr>
          <w:trHeight w:val="318"/>
        </w:trPr>
        <w:tc>
          <w:tcPr>
            <w:tcW w:w="4379" w:type="dxa"/>
            <w:tcBorders>
              <w:bottom w:val="single" w:sz="6" w:space="0" w:color="FFFFFF"/>
            </w:tcBorders>
            <w:shd w:val="clear" w:color="auto" w:fill="D9D9D9"/>
            <w:noWrap/>
            <w:vAlign w:val="center"/>
          </w:tcPr>
          <w:p w:rsidR="00BD4F91" w:rsidRPr="00E33891" w:rsidRDefault="00BD4F91" w:rsidP="009706E5">
            <w:pPr>
              <w:rPr>
                <w:rFonts w:ascii="Book Antiqua" w:hAnsi="Book Antiqua" w:cs="Arial"/>
                <w:b/>
                <w:bCs/>
                <w:sz w:val="20"/>
                <w:szCs w:val="20"/>
                <w:lang w:bidi="ta-IN"/>
              </w:rPr>
            </w:pPr>
            <w:r w:rsidRPr="00E33891">
              <w:rPr>
                <w:rFonts w:ascii="Book Antiqua" w:hAnsi="Book Antiqua" w:cs="Arial"/>
                <w:b/>
                <w:bCs/>
                <w:sz w:val="20"/>
                <w:szCs w:val="20"/>
                <w:lang w:bidi="ta-IN"/>
              </w:rPr>
              <w:t xml:space="preserve"> 1.  Consumer  goods  </w:t>
            </w:r>
          </w:p>
        </w:tc>
        <w:tc>
          <w:tcPr>
            <w:tcW w:w="163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233.0</w:t>
            </w:r>
          </w:p>
        </w:tc>
        <w:tc>
          <w:tcPr>
            <w:tcW w:w="161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365.5</w:t>
            </w:r>
          </w:p>
        </w:tc>
        <w:tc>
          <w:tcPr>
            <w:tcW w:w="161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56.9</w:t>
            </w:r>
          </w:p>
        </w:tc>
      </w:tr>
      <w:tr w:rsidR="00BD4F91" w:rsidRPr="00E33891" w:rsidTr="00BD4F91">
        <w:trPr>
          <w:trHeight w:val="318"/>
        </w:trPr>
        <w:tc>
          <w:tcPr>
            <w:tcW w:w="4379" w:type="dxa"/>
            <w:shd w:val="clear" w:color="auto" w:fill="F2F2F2"/>
            <w:noWrap/>
            <w:vAlign w:val="center"/>
          </w:tcPr>
          <w:p w:rsidR="00BD4F91" w:rsidRPr="00E33891" w:rsidRDefault="00BD4F91" w:rsidP="009706E5">
            <w:pPr>
              <w:keepNext/>
              <w:tabs>
                <w:tab w:val="left" w:pos="0"/>
              </w:tabs>
              <w:suppressAutoHyphens/>
              <w:rPr>
                <w:rFonts w:ascii="Book Antiqua" w:hAnsi="Book Antiqua" w:cs="Arial"/>
                <w:sz w:val="20"/>
                <w:szCs w:val="20"/>
                <w:lang w:bidi="ta-IN"/>
              </w:rPr>
            </w:pPr>
            <w:r w:rsidRPr="00E33891">
              <w:rPr>
                <w:rFonts w:ascii="Book Antiqua" w:hAnsi="Book Antiqua" w:cs="Arial"/>
                <w:sz w:val="20"/>
                <w:szCs w:val="20"/>
                <w:lang w:bidi="ta-IN"/>
              </w:rPr>
              <w:t xml:space="preserve">     </w:t>
            </w:r>
            <w:r w:rsidRPr="00E33891">
              <w:rPr>
                <w:rFonts w:ascii="Book Antiqua" w:hAnsi="Book Antiqua"/>
                <w:sz w:val="20"/>
                <w:szCs w:val="20"/>
              </w:rPr>
              <w:t xml:space="preserve"> Food and Beverages</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84.6</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151.7</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79.4</w:t>
            </w:r>
          </w:p>
        </w:tc>
      </w:tr>
      <w:tr w:rsidR="00BD4F91" w:rsidRPr="00E33891" w:rsidTr="00BD4F91">
        <w:trPr>
          <w:trHeight w:val="318"/>
        </w:trPr>
        <w:tc>
          <w:tcPr>
            <w:tcW w:w="4379" w:type="dxa"/>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Dairy products  </w:t>
            </w:r>
          </w:p>
        </w:tc>
        <w:tc>
          <w:tcPr>
            <w:tcW w:w="163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13.9</w:t>
            </w:r>
          </w:p>
        </w:tc>
        <w:tc>
          <w:tcPr>
            <w:tcW w:w="161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26.7</w:t>
            </w:r>
          </w:p>
        </w:tc>
        <w:tc>
          <w:tcPr>
            <w:tcW w:w="161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92.9</w:t>
            </w:r>
          </w:p>
        </w:tc>
      </w:tr>
      <w:tr w:rsidR="00BD4F91" w:rsidRPr="00E33891" w:rsidTr="00BD4F91">
        <w:trPr>
          <w:trHeight w:val="318"/>
        </w:trPr>
        <w:tc>
          <w:tcPr>
            <w:tcW w:w="4379" w:type="dxa"/>
            <w:tcBorders>
              <w:bottom w:val="single" w:sz="6" w:space="0" w:color="FFFFFF"/>
            </w:tcBorders>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Other food and beverages</w:t>
            </w:r>
          </w:p>
        </w:tc>
        <w:tc>
          <w:tcPr>
            <w:tcW w:w="163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70.7</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125.0</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76.8</w:t>
            </w:r>
          </w:p>
        </w:tc>
      </w:tr>
      <w:tr w:rsidR="00BD4F91" w:rsidRPr="00E33891" w:rsidTr="00BD4F91">
        <w:trPr>
          <w:trHeight w:val="318"/>
        </w:trPr>
        <w:tc>
          <w:tcPr>
            <w:tcW w:w="4379" w:type="dxa"/>
            <w:shd w:val="clear" w:color="auto" w:fill="F2F2F2"/>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Other consumer goods </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148.5</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213.8</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44.0</w:t>
            </w:r>
          </w:p>
        </w:tc>
      </w:tr>
      <w:tr w:rsidR="00BD4F91" w:rsidRPr="00E33891" w:rsidTr="00BD4F91">
        <w:trPr>
          <w:trHeight w:val="318"/>
        </w:trPr>
        <w:tc>
          <w:tcPr>
            <w:tcW w:w="4379" w:type="dxa"/>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Vehicles  </w:t>
            </w:r>
          </w:p>
        </w:tc>
        <w:tc>
          <w:tcPr>
            <w:tcW w:w="163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51.5</w:t>
            </w:r>
          </w:p>
        </w:tc>
        <w:tc>
          <w:tcPr>
            <w:tcW w:w="161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97.0</w:t>
            </w:r>
          </w:p>
        </w:tc>
        <w:tc>
          <w:tcPr>
            <w:tcW w:w="161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88.2</w:t>
            </w:r>
          </w:p>
        </w:tc>
      </w:tr>
      <w:tr w:rsidR="00BD4F91" w:rsidRPr="00E33891" w:rsidTr="00BD4F91">
        <w:trPr>
          <w:trHeight w:val="318"/>
        </w:trPr>
        <w:tc>
          <w:tcPr>
            <w:tcW w:w="4379" w:type="dxa"/>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Medical and pharmaceuticals  </w:t>
            </w:r>
          </w:p>
        </w:tc>
        <w:tc>
          <w:tcPr>
            <w:tcW w:w="163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31.1</w:t>
            </w:r>
          </w:p>
        </w:tc>
        <w:tc>
          <w:tcPr>
            <w:tcW w:w="161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32.1</w:t>
            </w:r>
          </w:p>
        </w:tc>
        <w:tc>
          <w:tcPr>
            <w:tcW w:w="1612" w:type="dxa"/>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3.4</w:t>
            </w:r>
          </w:p>
        </w:tc>
      </w:tr>
      <w:tr w:rsidR="00BD4F91" w:rsidRPr="00E33891" w:rsidTr="00BD4F91">
        <w:trPr>
          <w:trHeight w:val="318"/>
        </w:trPr>
        <w:tc>
          <w:tcPr>
            <w:tcW w:w="4379" w:type="dxa"/>
            <w:tcBorders>
              <w:bottom w:val="single" w:sz="6" w:space="0" w:color="FFFFFF"/>
            </w:tcBorders>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Other non- food consumables</w:t>
            </w:r>
          </w:p>
        </w:tc>
        <w:tc>
          <w:tcPr>
            <w:tcW w:w="163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65.9</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84.7</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28.5</w:t>
            </w:r>
          </w:p>
        </w:tc>
      </w:tr>
      <w:tr w:rsidR="00BD4F91" w:rsidRPr="00E33891" w:rsidTr="00BD4F91">
        <w:trPr>
          <w:trHeight w:val="318"/>
        </w:trPr>
        <w:tc>
          <w:tcPr>
            <w:tcW w:w="4379" w:type="dxa"/>
            <w:tcBorders>
              <w:bottom w:val="single" w:sz="6" w:space="0" w:color="FFFFFF"/>
            </w:tcBorders>
            <w:shd w:val="clear" w:color="auto" w:fill="D9D9D9"/>
            <w:noWrap/>
            <w:vAlign w:val="center"/>
          </w:tcPr>
          <w:p w:rsidR="00BD4F91" w:rsidRPr="00E33891" w:rsidRDefault="00BD4F91" w:rsidP="009706E5">
            <w:pPr>
              <w:rPr>
                <w:rFonts w:ascii="Book Antiqua" w:hAnsi="Book Antiqua" w:cs="Arial"/>
                <w:b/>
                <w:bCs/>
                <w:sz w:val="20"/>
                <w:szCs w:val="20"/>
                <w:lang w:bidi="ta-IN"/>
              </w:rPr>
            </w:pPr>
            <w:r w:rsidRPr="00E33891">
              <w:rPr>
                <w:rFonts w:ascii="Book Antiqua" w:hAnsi="Book Antiqua" w:cs="Arial"/>
                <w:b/>
                <w:bCs/>
                <w:sz w:val="20"/>
                <w:szCs w:val="20"/>
                <w:lang w:bidi="ta-IN"/>
              </w:rPr>
              <w:t xml:space="preserve"> 2.  Intermediate  goods  </w:t>
            </w:r>
          </w:p>
        </w:tc>
        <w:tc>
          <w:tcPr>
            <w:tcW w:w="163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917.2</w:t>
            </w:r>
          </w:p>
        </w:tc>
        <w:tc>
          <w:tcPr>
            <w:tcW w:w="161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870.7</w:t>
            </w:r>
          </w:p>
        </w:tc>
        <w:tc>
          <w:tcPr>
            <w:tcW w:w="161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-5.1</w:t>
            </w:r>
          </w:p>
        </w:tc>
      </w:tr>
      <w:tr w:rsidR="00BD4F91" w:rsidRPr="00E33891" w:rsidTr="00BD4F91">
        <w:trPr>
          <w:trHeight w:val="318"/>
        </w:trPr>
        <w:tc>
          <w:tcPr>
            <w:tcW w:w="4379" w:type="dxa"/>
            <w:shd w:val="clear" w:color="auto" w:fill="F2F2F2"/>
            <w:noWrap/>
            <w:vAlign w:val="center"/>
          </w:tcPr>
          <w:p w:rsidR="00BD4F91" w:rsidRPr="00E33891" w:rsidRDefault="00BD4F91" w:rsidP="009706E5">
            <w:pPr>
              <w:keepNext/>
              <w:tabs>
                <w:tab w:val="left" w:pos="0"/>
              </w:tabs>
              <w:suppressAutoHyphens/>
              <w:rPr>
                <w:rFonts w:ascii="Book Antiqua" w:hAnsi="Book Antiqua" w:cs="Arial"/>
                <w:sz w:val="20"/>
                <w:szCs w:val="20"/>
                <w:lang w:bidi="ta-IN"/>
              </w:rPr>
            </w:pPr>
            <w:r w:rsidRPr="00E33891">
              <w:rPr>
                <w:rFonts w:ascii="Book Antiqua" w:hAnsi="Book Antiqua" w:cs="Arial"/>
                <w:sz w:val="20"/>
                <w:szCs w:val="20"/>
                <w:lang w:bidi="ta-IN"/>
              </w:rPr>
              <w:t xml:space="preserve">       </w:t>
            </w:r>
            <w:r w:rsidRPr="00E33891">
              <w:rPr>
                <w:rFonts w:ascii="Book Antiqua" w:hAnsi="Book Antiqua"/>
                <w:sz w:val="20"/>
                <w:szCs w:val="20"/>
              </w:rPr>
              <w:t>Fuel</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389.1</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295.3</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-24.1</w:t>
            </w:r>
          </w:p>
        </w:tc>
      </w:tr>
      <w:tr w:rsidR="00BD4F91" w:rsidRPr="00E33891" w:rsidTr="00BD4F91">
        <w:trPr>
          <w:trHeight w:val="318"/>
        </w:trPr>
        <w:tc>
          <w:tcPr>
            <w:tcW w:w="4379" w:type="dxa"/>
            <w:tcBorders>
              <w:bottom w:val="single" w:sz="6" w:space="0" w:color="FFFFFF"/>
            </w:tcBorders>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Textile</w:t>
            </w:r>
            <w:r>
              <w:rPr>
                <w:rFonts w:ascii="Book Antiqua" w:hAnsi="Book Antiqua" w:cs="Arial"/>
                <w:sz w:val="20"/>
                <w:szCs w:val="20"/>
                <w:lang w:bidi="ta-IN"/>
              </w:rPr>
              <w:t>s</w:t>
            </w:r>
            <w:r w:rsidRPr="00E33891">
              <w:rPr>
                <w:rFonts w:ascii="Book Antiqua" w:hAnsi="Book Antiqua" w:cs="Arial"/>
                <w:sz w:val="20"/>
                <w:szCs w:val="20"/>
                <w:lang w:bidi="ta-IN"/>
              </w:rPr>
              <w:t xml:space="preserve"> and textile articles  </w:t>
            </w:r>
          </w:p>
        </w:tc>
        <w:tc>
          <w:tcPr>
            <w:tcW w:w="163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174.0</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199.1</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14.4</w:t>
            </w:r>
          </w:p>
        </w:tc>
      </w:tr>
      <w:tr w:rsidR="00BD4F91" w:rsidRPr="00E33891" w:rsidTr="00BD4F91">
        <w:trPr>
          <w:trHeight w:val="318"/>
        </w:trPr>
        <w:tc>
          <w:tcPr>
            <w:tcW w:w="4379" w:type="dxa"/>
            <w:shd w:val="clear" w:color="auto" w:fill="F2F2F2"/>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Chemical products  </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59.7</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68.3</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14.3</w:t>
            </w:r>
          </w:p>
        </w:tc>
      </w:tr>
      <w:tr w:rsidR="00BD4F91" w:rsidRPr="00E33891" w:rsidTr="00BD4F91">
        <w:trPr>
          <w:trHeight w:val="318"/>
        </w:trPr>
        <w:tc>
          <w:tcPr>
            <w:tcW w:w="4379" w:type="dxa"/>
            <w:tcBorders>
              <w:bottom w:val="single" w:sz="6" w:space="0" w:color="FFFFFF"/>
            </w:tcBorders>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Plastic  and articles thereof  </w:t>
            </w:r>
          </w:p>
        </w:tc>
        <w:tc>
          <w:tcPr>
            <w:tcW w:w="163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43.5</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51.9</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19.2</w:t>
            </w:r>
          </w:p>
        </w:tc>
      </w:tr>
      <w:tr w:rsidR="00BD4F91" w:rsidRPr="00E33891" w:rsidTr="00BD4F91">
        <w:trPr>
          <w:trHeight w:val="318"/>
        </w:trPr>
        <w:tc>
          <w:tcPr>
            <w:tcW w:w="4379" w:type="dxa"/>
            <w:shd w:val="clear" w:color="auto" w:fill="F2F2F2"/>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Base metals  </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35.8</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39.8</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11.4</w:t>
            </w:r>
          </w:p>
        </w:tc>
      </w:tr>
      <w:tr w:rsidR="00BD4F91" w:rsidRPr="00E33891" w:rsidTr="00BD4F91">
        <w:trPr>
          <w:trHeight w:val="318"/>
        </w:trPr>
        <w:tc>
          <w:tcPr>
            <w:tcW w:w="4379" w:type="dxa"/>
            <w:tcBorders>
              <w:bottom w:val="single" w:sz="6" w:space="0" w:color="FFFFFF"/>
            </w:tcBorders>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Paper and paperboard articles </w:t>
            </w:r>
          </w:p>
        </w:tc>
        <w:tc>
          <w:tcPr>
            <w:tcW w:w="163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34.0</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42.4</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25.0</w:t>
            </w:r>
          </w:p>
        </w:tc>
      </w:tr>
      <w:tr w:rsidR="00BD4F91" w:rsidRPr="00E33891" w:rsidTr="00BD4F91">
        <w:trPr>
          <w:trHeight w:val="318"/>
        </w:trPr>
        <w:tc>
          <w:tcPr>
            <w:tcW w:w="4379" w:type="dxa"/>
            <w:shd w:val="clear" w:color="auto" w:fill="F2F2F2"/>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Wheat and Maize  </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24.4</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38.9</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59.7</w:t>
            </w:r>
          </w:p>
        </w:tc>
      </w:tr>
      <w:tr w:rsidR="00BD4F91" w:rsidRPr="00E33891" w:rsidTr="00BD4F91">
        <w:trPr>
          <w:trHeight w:val="263"/>
        </w:trPr>
        <w:tc>
          <w:tcPr>
            <w:tcW w:w="4379" w:type="dxa"/>
            <w:tcBorders>
              <w:bottom w:val="single" w:sz="6" w:space="0" w:color="FFFFFF"/>
            </w:tcBorders>
            <w:shd w:val="clear" w:color="auto" w:fill="auto"/>
            <w:noWrap/>
            <w:vAlign w:val="center"/>
          </w:tcPr>
          <w:p w:rsidR="00BD4F91" w:rsidRPr="00E33891" w:rsidRDefault="00BD4F91" w:rsidP="009706E5">
            <w:pPr>
              <w:spacing w:after="120"/>
              <w:rPr>
                <w:rFonts w:ascii="Book Antiqua" w:hAnsi="Book Antiqua" w:cs="Arial"/>
                <w:sz w:val="20"/>
                <w:szCs w:val="20"/>
                <w:lang w:bidi="ta-IN"/>
              </w:rPr>
            </w:pPr>
            <w:r w:rsidRPr="00E33891">
              <w:rPr>
                <w:rFonts w:ascii="Book Antiqua" w:hAnsi="Book Antiqua" w:cs="Arial"/>
                <w:sz w:val="20"/>
                <w:szCs w:val="20"/>
                <w:lang w:bidi="ta-IN"/>
              </w:rPr>
              <w:t xml:space="preserve">       Other</w:t>
            </w:r>
          </w:p>
        </w:tc>
        <w:tc>
          <w:tcPr>
            <w:tcW w:w="1632" w:type="dxa"/>
            <w:tcBorders>
              <w:bottom w:val="single" w:sz="6" w:space="0" w:color="FFFFFF"/>
            </w:tcBorders>
            <w:shd w:val="clear" w:color="auto" w:fill="auto"/>
            <w:noWrap/>
            <w:vAlign w:val="center"/>
          </w:tcPr>
          <w:p w:rsidR="00BD4F91" w:rsidRPr="00E33891" w:rsidRDefault="00BD4F91" w:rsidP="009706E5">
            <w:pPr>
              <w:spacing w:after="120"/>
              <w:jc w:val="right"/>
              <w:rPr>
                <w:rFonts w:ascii="Book Antiqua" w:hAnsi="Book Antiqua" w:cs="Arial"/>
                <w:color w:val="000000"/>
                <w:sz w:val="20"/>
                <w:szCs w:val="20"/>
                <w:lang w:bidi="ta-IN"/>
              </w:rPr>
            </w:pPr>
            <w:r>
              <w:rPr>
                <w:rFonts w:ascii="Book Antiqua" w:hAnsi="Book Antiqua" w:cs="Arial"/>
                <w:color w:val="000000"/>
                <w:sz w:val="20"/>
                <w:szCs w:val="20"/>
                <w:lang w:bidi="ta-IN"/>
              </w:rPr>
              <w:t>156.8</w:t>
            </w:r>
          </w:p>
        </w:tc>
        <w:tc>
          <w:tcPr>
            <w:tcW w:w="1612" w:type="dxa"/>
            <w:tcBorders>
              <w:bottom w:val="single" w:sz="6" w:space="0" w:color="FFFFFF"/>
            </w:tcBorders>
            <w:shd w:val="clear" w:color="auto" w:fill="auto"/>
            <w:noWrap/>
            <w:vAlign w:val="center"/>
          </w:tcPr>
          <w:p w:rsidR="00BD4F91" w:rsidRPr="00E33891" w:rsidRDefault="00BD4F91" w:rsidP="009706E5">
            <w:pPr>
              <w:spacing w:after="120"/>
              <w:jc w:val="right"/>
              <w:rPr>
                <w:rFonts w:ascii="Book Antiqua" w:hAnsi="Book Antiqua" w:cs="Arial"/>
                <w:color w:val="000000"/>
                <w:sz w:val="20"/>
                <w:szCs w:val="20"/>
                <w:lang w:bidi="ta-IN"/>
              </w:rPr>
            </w:pPr>
            <w:r>
              <w:rPr>
                <w:rFonts w:ascii="Book Antiqua" w:hAnsi="Book Antiqua" w:cs="Arial"/>
                <w:color w:val="000000"/>
                <w:sz w:val="20"/>
                <w:szCs w:val="20"/>
                <w:lang w:bidi="ta-IN"/>
              </w:rPr>
              <w:t>134.9</w:t>
            </w:r>
          </w:p>
        </w:tc>
        <w:tc>
          <w:tcPr>
            <w:tcW w:w="1612" w:type="dxa"/>
            <w:tcBorders>
              <w:bottom w:val="single" w:sz="6" w:space="0" w:color="FFFFFF"/>
            </w:tcBorders>
            <w:shd w:val="clear" w:color="auto" w:fill="auto"/>
            <w:noWrap/>
            <w:vAlign w:val="center"/>
          </w:tcPr>
          <w:p w:rsidR="00BD4F91" w:rsidRPr="00E33891" w:rsidRDefault="00BD4F91" w:rsidP="009706E5">
            <w:pPr>
              <w:spacing w:after="120"/>
              <w:jc w:val="right"/>
              <w:rPr>
                <w:rFonts w:ascii="Book Antiqua" w:hAnsi="Book Antiqua" w:cs="Arial"/>
                <w:color w:val="000000"/>
                <w:sz w:val="20"/>
                <w:szCs w:val="20"/>
                <w:lang w:bidi="ta-IN"/>
              </w:rPr>
            </w:pPr>
            <w:r>
              <w:rPr>
                <w:rFonts w:ascii="Book Antiqua" w:hAnsi="Book Antiqua" w:cs="Arial"/>
                <w:color w:val="000000"/>
                <w:sz w:val="20"/>
                <w:szCs w:val="20"/>
                <w:lang w:bidi="ta-IN"/>
              </w:rPr>
              <w:t>-14.0</w:t>
            </w:r>
          </w:p>
        </w:tc>
      </w:tr>
      <w:tr w:rsidR="00BD4F91" w:rsidRPr="00E33891" w:rsidTr="00BD4F91">
        <w:trPr>
          <w:trHeight w:val="334"/>
        </w:trPr>
        <w:tc>
          <w:tcPr>
            <w:tcW w:w="4379" w:type="dxa"/>
            <w:tcBorders>
              <w:bottom w:val="single" w:sz="6" w:space="0" w:color="FFFFFF"/>
            </w:tcBorders>
            <w:shd w:val="clear" w:color="auto" w:fill="D9D9D9"/>
            <w:noWrap/>
            <w:vAlign w:val="center"/>
          </w:tcPr>
          <w:p w:rsidR="00BD4F91" w:rsidRPr="00E33891" w:rsidRDefault="00BD4F91" w:rsidP="009706E5">
            <w:pPr>
              <w:rPr>
                <w:rFonts w:ascii="Book Antiqua" w:hAnsi="Book Antiqua" w:cs="Arial"/>
                <w:b/>
                <w:bCs/>
                <w:sz w:val="20"/>
                <w:szCs w:val="20"/>
                <w:lang w:bidi="ta-IN"/>
              </w:rPr>
            </w:pPr>
            <w:r w:rsidRPr="00E33891">
              <w:rPr>
                <w:rFonts w:ascii="Book Antiqua" w:hAnsi="Book Antiqua" w:cs="Arial"/>
                <w:b/>
                <w:bCs/>
                <w:sz w:val="20"/>
                <w:szCs w:val="20"/>
                <w:lang w:bidi="ta-IN"/>
              </w:rPr>
              <w:t xml:space="preserve"> 3.  Investment  goods  </w:t>
            </w:r>
          </w:p>
        </w:tc>
        <w:tc>
          <w:tcPr>
            <w:tcW w:w="163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335.3</w:t>
            </w:r>
          </w:p>
        </w:tc>
        <w:tc>
          <w:tcPr>
            <w:tcW w:w="161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428.8</w:t>
            </w:r>
          </w:p>
        </w:tc>
        <w:tc>
          <w:tcPr>
            <w:tcW w:w="1612" w:type="dxa"/>
            <w:tcBorders>
              <w:bottom w:val="single" w:sz="6" w:space="0" w:color="FFFFFF"/>
            </w:tcBorders>
            <w:shd w:val="clear" w:color="auto" w:fill="D9D9D9"/>
            <w:noWrap/>
            <w:vAlign w:val="center"/>
          </w:tcPr>
          <w:p w:rsidR="00BD4F91" w:rsidRPr="00E33891" w:rsidRDefault="00BD4F91" w:rsidP="009706E5">
            <w:pPr>
              <w:jc w:val="right"/>
              <w:rPr>
                <w:rFonts w:ascii="Book Antiqua" w:hAnsi="Book Antiqua" w:cs="Arial"/>
                <w:b/>
                <w:bCs/>
                <w:color w:val="000000"/>
                <w:sz w:val="20"/>
                <w:szCs w:val="20"/>
                <w:lang w:bidi="ta-IN"/>
              </w:rPr>
            </w:pPr>
            <w:r>
              <w:rPr>
                <w:rFonts w:ascii="Book Antiqua" w:hAnsi="Book Antiqua" w:cs="Arial"/>
                <w:b/>
                <w:bCs/>
                <w:color w:val="000000"/>
                <w:sz w:val="20"/>
                <w:szCs w:val="20"/>
                <w:lang w:bidi="ta-IN"/>
              </w:rPr>
              <w:t>27.9</w:t>
            </w:r>
          </w:p>
        </w:tc>
      </w:tr>
      <w:tr w:rsidR="00BD4F91" w:rsidRPr="00E33891" w:rsidTr="00BD4F91">
        <w:trPr>
          <w:trHeight w:val="318"/>
        </w:trPr>
        <w:tc>
          <w:tcPr>
            <w:tcW w:w="4379" w:type="dxa"/>
            <w:shd w:val="clear" w:color="auto" w:fill="F2F2F2"/>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sz w:val="20"/>
                <w:szCs w:val="20"/>
              </w:rPr>
              <w:t xml:space="preserve">      Machinery and Equipment</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197.1</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177.2</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-10.1</w:t>
            </w:r>
          </w:p>
        </w:tc>
      </w:tr>
      <w:tr w:rsidR="00BD4F91" w:rsidRPr="00E33891" w:rsidTr="00BD4F91">
        <w:trPr>
          <w:trHeight w:val="318"/>
        </w:trPr>
        <w:tc>
          <w:tcPr>
            <w:tcW w:w="4379" w:type="dxa"/>
            <w:tcBorders>
              <w:bottom w:val="single" w:sz="6" w:space="0" w:color="FFFFFF"/>
            </w:tcBorders>
            <w:shd w:val="clear" w:color="auto" w:fill="auto"/>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Building materials  </w:t>
            </w:r>
          </w:p>
        </w:tc>
        <w:tc>
          <w:tcPr>
            <w:tcW w:w="163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101.8</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111.3</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9.4</w:t>
            </w:r>
          </w:p>
        </w:tc>
      </w:tr>
      <w:tr w:rsidR="00BD4F91" w:rsidRPr="00E33891" w:rsidTr="00BD4F91">
        <w:trPr>
          <w:trHeight w:val="318"/>
        </w:trPr>
        <w:tc>
          <w:tcPr>
            <w:tcW w:w="4379" w:type="dxa"/>
            <w:shd w:val="clear" w:color="auto" w:fill="F2F2F2"/>
            <w:noWrap/>
            <w:vAlign w:val="center"/>
          </w:tcPr>
          <w:p w:rsidR="00BD4F91" w:rsidRPr="00E33891" w:rsidRDefault="00BD4F91" w:rsidP="009706E5">
            <w:pPr>
              <w:rPr>
                <w:rFonts w:ascii="Book Antiqua" w:hAnsi="Book Antiqua" w:cs="Arial"/>
                <w:sz w:val="20"/>
                <w:szCs w:val="20"/>
                <w:lang w:bidi="ta-IN"/>
              </w:rPr>
            </w:pPr>
            <w:r w:rsidRPr="00E33891">
              <w:rPr>
                <w:rFonts w:ascii="Book Antiqua" w:hAnsi="Book Antiqua" w:cs="Arial"/>
                <w:sz w:val="20"/>
                <w:szCs w:val="20"/>
                <w:lang w:bidi="ta-IN"/>
              </w:rPr>
              <w:t xml:space="preserve">      Transport equipment  </w:t>
            </w:r>
          </w:p>
        </w:tc>
        <w:tc>
          <w:tcPr>
            <w:tcW w:w="163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35.9</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140.1</w:t>
            </w:r>
          </w:p>
        </w:tc>
        <w:tc>
          <w:tcPr>
            <w:tcW w:w="1612" w:type="dxa"/>
            <w:shd w:val="clear" w:color="auto" w:fill="F2F2F2"/>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290.0</w:t>
            </w:r>
          </w:p>
        </w:tc>
      </w:tr>
      <w:tr w:rsidR="00BD4F91" w:rsidRPr="00E33891" w:rsidTr="00BD4F91">
        <w:trPr>
          <w:trHeight w:val="318"/>
        </w:trPr>
        <w:tc>
          <w:tcPr>
            <w:tcW w:w="4379" w:type="dxa"/>
            <w:tcBorders>
              <w:bottom w:val="single" w:sz="6" w:space="0" w:color="FFFFFF"/>
            </w:tcBorders>
            <w:shd w:val="clear" w:color="auto" w:fill="auto"/>
            <w:noWrap/>
            <w:vAlign w:val="center"/>
          </w:tcPr>
          <w:p w:rsidR="00BD4F91" w:rsidRPr="00E33891" w:rsidRDefault="00BD4F91" w:rsidP="009706E5">
            <w:pPr>
              <w:rPr>
                <w:rFonts w:ascii="Book Antiqua" w:hAnsi="Book Antiqua" w:cs="Arial"/>
                <w:color w:val="000000"/>
                <w:sz w:val="20"/>
                <w:szCs w:val="20"/>
                <w:lang w:bidi="ta-IN"/>
              </w:rPr>
            </w:pPr>
            <w:r w:rsidRPr="00E33891">
              <w:rPr>
                <w:rFonts w:ascii="Book Antiqua" w:hAnsi="Book Antiqua" w:cs="Arial"/>
                <w:color w:val="000000"/>
                <w:sz w:val="20"/>
                <w:szCs w:val="20"/>
                <w:lang w:bidi="ta-IN"/>
              </w:rPr>
              <w:t xml:space="preserve">      Other</w:t>
            </w:r>
          </w:p>
        </w:tc>
        <w:tc>
          <w:tcPr>
            <w:tcW w:w="163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0.5</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0.2</w:t>
            </w:r>
          </w:p>
        </w:tc>
        <w:tc>
          <w:tcPr>
            <w:tcW w:w="1612" w:type="dxa"/>
            <w:tcBorders>
              <w:bottom w:val="single" w:sz="6" w:space="0" w:color="FFFFFF"/>
            </w:tcBorders>
            <w:shd w:val="clear" w:color="auto" w:fill="auto"/>
            <w:noWrap/>
            <w:vAlign w:val="center"/>
          </w:tcPr>
          <w:p w:rsidR="00BD4F91" w:rsidRPr="00E33891" w:rsidRDefault="00BD4F91" w:rsidP="009706E5">
            <w:pPr>
              <w:jc w:val="right"/>
              <w:rPr>
                <w:rFonts w:ascii="Book Antiqua" w:hAnsi="Book Antiqua" w:cs="Arial"/>
                <w:color w:val="000000"/>
                <w:sz w:val="20"/>
                <w:szCs w:val="20"/>
                <w:lang w:bidi="ta-IN"/>
              </w:rPr>
            </w:pPr>
            <w:r>
              <w:rPr>
                <w:rFonts w:ascii="Book Antiqua" w:hAnsi="Book Antiqua" w:cs="Arial"/>
                <w:color w:val="000000"/>
                <w:sz w:val="20"/>
                <w:szCs w:val="20"/>
                <w:lang w:bidi="ta-IN"/>
              </w:rPr>
              <w:t>-63.5</w:t>
            </w:r>
          </w:p>
        </w:tc>
      </w:tr>
      <w:tr w:rsidR="00BD4F91" w:rsidRPr="00E33891" w:rsidTr="00BD4F91">
        <w:trPr>
          <w:trHeight w:val="325"/>
        </w:trPr>
        <w:tc>
          <w:tcPr>
            <w:tcW w:w="4379" w:type="dxa"/>
            <w:shd w:val="clear" w:color="auto" w:fill="C9C9C9"/>
            <w:noWrap/>
            <w:vAlign w:val="center"/>
          </w:tcPr>
          <w:p w:rsidR="00BD4F91" w:rsidRPr="00E33891" w:rsidRDefault="00BD4F91" w:rsidP="009706E5">
            <w:pPr>
              <w:rPr>
                <w:rFonts w:ascii="Book Antiqua" w:hAnsi="Book Antiqua" w:cs="Arial"/>
                <w:b/>
                <w:bCs/>
                <w:sz w:val="20"/>
                <w:szCs w:val="20"/>
                <w:lang w:bidi="ta-IN"/>
              </w:rPr>
            </w:pPr>
            <w:r w:rsidRPr="00E33891">
              <w:rPr>
                <w:rFonts w:ascii="Book Antiqua" w:hAnsi="Book Antiqua" w:cs="Arial"/>
                <w:b/>
                <w:bCs/>
                <w:sz w:val="20"/>
                <w:szCs w:val="20"/>
                <w:lang w:bidi="ta-IN"/>
              </w:rPr>
              <w:t xml:space="preserve"> Total imports    </w:t>
            </w:r>
          </w:p>
        </w:tc>
        <w:tc>
          <w:tcPr>
            <w:tcW w:w="1632" w:type="dxa"/>
            <w:shd w:val="clear" w:color="auto" w:fill="C9C9C9"/>
            <w:noWrap/>
            <w:vAlign w:val="center"/>
          </w:tcPr>
          <w:p w:rsidR="00BD4F91" w:rsidRPr="00E33891" w:rsidRDefault="00BD4F91" w:rsidP="009706E5">
            <w:pPr>
              <w:jc w:val="right"/>
              <w:rPr>
                <w:rFonts w:ascii="Book Antiqua" w:hAnsi="Book Antiqua" w:cs="Arial"/>
                <w:b/>
                <w:bCs/>
                <w:sz w:val="20"/>
                <w:szCs w:val="20"/>
                <w:lang w:bidi="ta-IN"/>
              </w:rPr>
            </w:pPr>
            <w:r>
              <w:rPr>
                <w:rFonts w:ascii="Book Antiqua" w:hAnsi="Book Antiqua" w:cs="Arial"/>
                <w:b/>
                <w:bCs/>
                <w:sz w:val="20"/>
                <w:szCs w:val="20"/>
                <w:lang w:bidi="ta-IN"/>
              </w:rPr>
              <w:t>1,486.3</w:t>
            </w:r>
          </w:p>
        </w:tc>
        <w:tc>
          <w:tcPr>
            <w:tcW w:w="1612" w:type="dxa"/>
            <w:shd w:val="clear" w:color="auto" w:fill="C9C9C9"/>
            <w:noWrap/>
            <w:vAlign w:val="center"/>
          </w:tcPr>
          <w:p w:rsidR="00BD4F91" w:rsidRPr="00E33891" w:rsidRDefault="00BD4F91" w:rsidP="009706E5">
            <w:pPr>
              <w:jc w:val="right"/>
              <w:rPr>
                <w:rFonts w:ascii="Book Antiqua" w:hAnsi="Book Antiqua" w:cs="Arial"/>
                <w:b/>
                <w:bCs/>
                <w:sz w:val="20"/>
                <w:szCs w:val="20"/>
                <w:lang w:bidi="ta-IN"/>
              </w:rPr>
            </w:pPr>
            <w:r>
              <w:rPr>
                <w:rFonts w:ascii="Book Antiqua" w:hAnsi="Book Antiqua" w:cs="Arial"/>
                <w:b/>
                <w:bCs/>
                <w:sz w:val="20"/>
                <w:szCs w:val="20"/>
                <w:lang w:bidi="ta-IN"/>
              </w:rPr>
              <w:t>1,667.5</w:t>
            </w:r>
          </w:p>
        </w:tc>
        <w:tc>
          <w:tcPr>
            <w:tcW w:w="1612" w:type="dxa"/>
            <w:shd w:val="clear" w:color="auto" w:fill="C9C9C9"/>
            <w:noWrap/>
            <w:vAlign w:val="center"/>
          </w:tcPr>
          <w:p w:rsidR="00BD4F91" w:rsidRPr="00E33891" w:rsidRDefault="00BD4F91" w:rsidP="009706E5">
            <w:pPr>
              <w:jc w:val="right"/>
              <w:rPr>
                <w:rFonts w:ascii="Book Antiqua" w:hAnsi="Book Antiqua" w:cs="Arial"/>
                <w:b/>
                <w:bCs/>
                <w:sz w:val="20"/>
                <w:szCs w:val="20"/>
                <w:lang w:bidi="ta-IN"/>
              </w:rPr>
            </w:pPr>
            <w:r>
              <w:rPr>
                <w:rFonts w:ascii="Book Antiqua" w:hAnsi="Book Antiqua" w:cs="Arial"/>
                <w:b/>
                <w:bCs/>
                <w:sz w:val="20"/>
                <w:szCs w:val="20"/>
                <w:lang w:bidi="ta-IN"/>
              </w:rPr>
              <w:t>12.2</w:t>
            </w:r>
          </w:p>
        </w:tc>
      </w:tr>
    </w:tbl>
    <w:p w:rsidR="00596C07" w:rsidRPr="004A759A" w:rsidRDefault="00596C07" w:rsidP="00596C07">
      <w:pPr>
        <w:rPr>
          <w:vanish/>
        </w:rPr>
      </w:pPr>
    </w:p>
    <w:tbl>
      <w:tblPr>
        <w:tblpPr w:leftFromText="180" w:rightFromText="180" w:vertAnchor="text" w:horzAnchor="margin" w:tblpXSpec="right" w:tblpY="97"/>
        <w:tblW w:w="4822" w:type="dxa"/>
        <w:tblLook w:val="04A0"/>
      </w:tblPr>
      <w:tblGrid>
        <w:gridCol w:w="4822"/>
      </w:tblGrid>
      <w:tr w:rsidR="00BD4F91" w:rsidRPr="00EA7481" w:rsidTr="00BD4F91">
        <w:trPr>
          <w:trHeight w:val="274"/>
        </w:trPr>
        <w:tc>
          <w:tcPr>
            <w:tcW w:w="4822" w:type="dxa"/>
            <w:tcBorders>
              <w:top w:val="nil"/>
              <w:left w:val="nil"/>
              <w:bottom w:val="nil"/>
              <w:right w:val="nil"/>
            </w:tcBorders>
            <w:shd w:val="clear" w:color="auto" w:fill="auto"/>
            <w:noWrap/>
            <w:vAlign w:val="bottom"/>
            <w:hideMark/>
          </w:tcPr>
          <w:p w:rsidR="00BD4F91" w:rsidRPr="00465271" w:rsidRDefault="00BD4F91" w:rsidP="00BD4F91">
            <w:pPr>
              <w:rPr>
                <w:rFonts w:ascii="Book Antiqua" w:hAnsi="Book Antiqua" w:cs="Times New Roman"/>
                <w:color w:val="000000"/>
                <w:sz w:val="16"/>
                <w:szCs w:val="16"/>
                <w:lang w:val="en-GB" w:bidi="si-LK"/>
              </w:rPr>
            </w:pPr>
            <w:r>
              <w:rPr>
                <w:rFonts w:ascii="Book Antiqua" w:hAnsi="Book Antiqua" w:cs="Times New Roman"/>
                <w:color w:val="000000"/>
                <w:sz w:val="16"/>
                <w:szCs w:val="16"/>
                <w:lang w:val="en-GB" w:bidi="si-LK"/>
              </w:rPr>
              <w:t xml:space="preserve">            </w:t>
            </w:r>
            <w:r w:rsidRPr="00465271">
              <w:rPr>
                <w:rFonts w:ascii="Book Antiqua" w:hAnsi="Book Antiqua" w:cs="Times New Roman"/>
                <w:color w:val="000000"/>
                <w:sz w:val="16"/>
                <w:szCs w:val="16"/>
                <w:lang w:val="en-GB" w:bidi="si-LK"/>
              </w:rPr>
              <w:t>Sources: Ceylon Petroleum Corporation</w:t>
            </w:r>
            <w:r>
              <w:rPr>
                <w:rFonts w:ascii="Book Antiqua" w:hAnsi="Book Antiqua" w:cs="Times New Roman"/>
                <w:color w:val="000000"/>
                <w:sz w:val="16"/>
                <w:szCs w:val="16"/>
                <w:lang w:val="en-GB" w:bidi="si-LK"/>
              </w:rPr>
              <w:t xml:space="preserve">, </w:t>
            </w:r>
            <w:r w:rsidRPr="00465271">
              <w:rPr>
                <w:rFonts w:ascii="Book Antiqua" w:hAnsi="Book Antiqua" w:cs="Times New Roman"/>
                <w:color w:val="000000"/>
                <w:sz w:val="16"/>
                <w:szCs w:val="16"/>
                <w:lang w:val="en-GB" w:bidi="si-LK"/>
              </w:rPr>
              <w:t xml:space="preserve"> Lanka IOC PLC</w:t>
            </w:r>
          </w:p>
        </w:tc>
      </w:tr>
      <w:tr w:rsidR="00BD4F91" w:rsidRPr="00EA7481" w:rsidTr="00BD4F91">
        <w:trPr>
          <w:trHeight w:val="274"/>
        </w:trPr>
        <w:tc>
          <w:tcPr>
            <w:tcW w:w="4822" w:type="dxa"/>
            <w:tcBorders>
              <w:top w:val="nil"/>
              <w:left w:val="nil"/>
              <w:bottom w:val="nil"/>
              <w:right w:val="nil"/>
            </w:tcBorders>
            <w:shd w:val="clear" w:color="auto" w:fill="auto"/>
            <w:noWrap/>
            <w:vAlign w:val="bottom"/>
            <w:hideMark/>
          </w:tcPr>
          <w:p w:rsidR="00BD4F91" w:rsidRPr="00465271" w:rsidRDefault="00BD4F91" w:rsidP="00BD4F91">
            <w:pPr>
              <w:rPr>
                <w:rFonts w:ascii="Book Antiqua" w:hAnsi="Book Antiqua" w:cs="Times New Roman"/>
                <w:color w:val="000000"/>
                <w:sz w:val="16"/>
                <w:szCs w:val="16"/>
                <w:lang w:val="en-GB" w:bidi="si-LK"/>
              </w:rPr>
            </w:pPr>
            <w:r>
              <w:rPr>
                <w:rFonts w:ascii="Book Antiqua" w:hAnsi="Book Antiqua" w:cs="Times New Roman"/>
                <w:color w:val="000000"/>
                <w:sz w:val="16"/>
                <w:szCs w:val="16"/>
                <w:lang w:val="en-GB" w:bidi="si-LK"/>
              </w:rPr>
              <w:t xml:space="preserve">               </w:t>
            </w:r>
            <w:r w:rsidRPr="00465271">
              <w:rPr>
                <w:rFonts w:ascii="Book Antiqua" w:hAnsi="Book Antiqua" w:cs="Times New Roman"/>
                <w:color w:val="000000"/>
                <w:sz w:val="16"/>
                <w:szCs w:val="16"/>
                <w:lang w:val="en-GB" w:bidi="si-LK"/>
              </w:rPr>
              <w:t xml:space="preserve"> </w:t>
            </w:r>
            <w:r>
              <w:rPr>
                <w:rFonts w:ascii="Book Antiqua" w:hAnsi="Book Antiqua" w:cs="Times New Roman"/>
                <w:color w:val="000000"/>
                <w:sz w:val="16"/>
                <w:szCs w:val="16"/>
                <w:lang w:val="en-GB" w:bidi="si-LK"/>
              </w:rPr>
              <w:t xml:space="preserve">            </w:t>
            </w:r>
            <w:r w:rsidRPr="00465271">
              <w:rPr>
                <w:rFonts w:ascii="Book Antiqua" w:hAnsi="Book Antiqua" w:cs="Times New Roman"/>
                <w:color w:val="000000"/>
                <w:sz w:val="16"/>
                <w:szCs w:val="16"/>
                <w:lang w:val="en-GB" w:bidi="si-LK"/>
              </w:rPr>
              <w:t xml:space="preserve">Sri Lanka Customs </w:t>
            </w:r>
            <w:r>
              <w:rPr>
                <w:rFonts w:ascii="Book Antiqua" w:hAnsi="Book Antiqua" w:cs="Times New Roman"/>
                <w:color w:val="000000"/>
                <w:sz w:val="16"/>
                <w:szCs w:val="16"/>
                <w:lang w:val="en-GB" w:bidi="si-LK"/>
              </w:rPr>
              <w:t xml:space="preserve">, </w:t>
            </w:r>
            <w:r w:rsidRPr="00465271">
              <w:rPr>
                <w:rFonts w:ascii="Book Antiqua" w:hAnsi="Book Antiqua" w:cs="Times New Roman"/>
                <w:color w:val="000000"/>
                <w:sz w:val="16"/>
                <w:szCs w:val="16"/>
                <w:lang w:val="en-GB" w:bidi="si-LK"/>
              </w:rPr>
              <w:t xml:space="preserve"> Central Bank of Sri Lanka</w:t>
            </w:r>
          </w:p>
        </w:tc>
      </w:tr>
      <w:tr w:rsidR="00BD4F91" w:rsidRPr="00EA7481" w:rsidTr="00BD4F91">
        <w:trPr>
          <w:trHeight w:val="274"/>
        </w:trPr>
        <w:tc>
          <w:tcPr>
            <w:tcW w:w="4822" w:type="dxa"/>
            <w:tcBorders>
              <w:top w:val="nil"/>
              <w:left w:val="nil"/>
              <w:bottom w:val="nil"/>
              <w:right w:val="nil"/>
            </w:tcBorders>
            <w:shd w:val="clear" w:color="auto" w:fill="auto"/>
            <w:noWrap/>
            <w:vAlign w:val="bottom"/>
            <w:hideMark/>
          </w:tcPr>
          <w:p w:rsidR="00BD4F91" w:rsidRPr="00465271" w:rsidRDefault="00BD4F91" w:rsidP="00BD4F91">
            <w:pPr>
              <w:rPr>
                <w:rFonts w:ascii="Book Antiqua" w:hAnsi="Book Antiqua" w:cs="Times New Roman"/>
                <w:color w:val="000000"/>
                <w:sz w:val="16"/>
                <w:szCs w:val="16"/>
                <w:lang w:val="en-GB" w:bidi="si-LK"/>
              </w:rPr>
            </w:pPr>
            <w:r w:rsidRPr="00465271">
              <w:rPr>
                <w:rFonts w:ascii="Book Antiqua" w:hAnsi="Book Antiqua" w:cs="Times New Roman"/>
                <w:color w:val="000000"/>
                <w:sz w:val="16"/>
                <w:szCs w:val="16"/>
                <w:lang w:val="en-GB" w:bidi="si-LK"/>
              </w:rPr>
              <w:t xml:space="preserve">                          </w:t>
            </w:r>
          </w:p>
        </w:tc>
      </w:tr>
    </w:tbl>
    <w:p w:rsidR="00C3760D" w:rsidRDefault="00C3760D" w:rsidP="00D67FA5">
      <w:pPr>
        <w:pStyle w:val="Default"/>
        <w:spacing w:after="120" w:line="360" w:lineRule="auto"/>
        <w:jc w:val="both"/>
        <w:rPr>
          <w:color w:val="auto"/>
        </w:rPr>
      </w:pPr>
    </w:p>
    <w:p w:rsidR="00C3760D" w:rsidRDefault="00C3760D" w:rsidP="00D67FA5">
      <w:pPr>
        <w:pStyle w:val="Default"/>
        <w:spacing w:after="120" w:line="360" w:lineRule="auto"/>
        <w:jc w:val="both"/>
        <w:rPr>
          <w:color w:val="auto"/>
        </w:rPr>
      </w:pPr>
    </w:p>
    <w:p w:rsidR="00E33891" w:rsidRDefault="00E33891" w:rsidP="00E33891">
      <w:pPr>
        <w:pStyle w:val="Default"/>
        <w:spacing w:after="120" w:line="360" w:lineRule="auto"/>
        <w:rPr>
          <w:rFonts w:cs="Times New Roman"/>
          <w:b/>
          <w:color w:val="auto"/>
          <w:lang w:val="en-GB" w:bidi="ar-SA"/>
        </w:rPr>
      </w:pPr>
      <w:r w:rsidRPr="00F53C1A">
        <w:rPr>
          <w:rFonts w:cs="Times New Roman"/>
          <w:b/>
          <w:color w:val="auto"/>
          <w:lang w:val="en-GB" w:bidi="ar-SA"/>
        </w:rPr>
        <w:t>Trade Balance</w:t>
      </w:r>
    </w:p>
    <w:p w:rsidR="00E33891" w:rsidRDefault="00E33891" w:rsidP="00E33891">
      <w:pPr>
        <w:pStyle w:val="Default"/>
        <w:spacing w:after="120" w:line="360" w:lineRule="auto"/>
        <w:jc w:val="both"/>
        <w:rPr>
          <w:color w:val="auto"/>
        </w:rPr>
      </w:pPr>
      <w:r w:rsidRPr="008A1573">
        <w:rPr>
          <w:b/>
          <w:bCs/>
          <w:color w:val="auto"/>
        </w:rPr>
        <w:t xml:space="preserve">As the growth of imports weighed on the export earnings, the trade deficit widened to US dollars </w:t>
      </w:r>
      <w:r w:rsidR="00DB3916" w:rsidRPr="008A1573">
        <w:rPr>
          <w:b/>
          <w:bCs/>
          <w:color w:val="auto"/>
        </w:rPr>
        <w:t>764</w:t>
      </w:r>
      <w:r w:rsidRPr="008A1573">
        <w:rPr>
          <w:b/>
          <w:bCs/>
          <w:color w:val="auto"/>
        </w:rPr>
        <w:t xml:space="preserve"> million in </w:t>
      </w:r>
      <w:r w:rsidR="00DB3916" w:rsidRPr="008A1573">
        <w:rPr>
          <w:b/>
          <w:bCs/>
          <w:color w:val="auto"/>
        </w:rPr>
        <w:t>September</w:t>
      </w:r>
      <w:r w:rsidRPr="008A1573">
        <w:rPr>
          <w:b/>
          <w:bCs/>
          <w:color w:val="auto"/>
        </w:rPr>
        <w:t xml:space="preserve"> 2014, compared to US dollars </w:t>
      </w:r>
      <w:r w:rsidR="00DB3916" w:rsidRPr="008A1573">
        <w:rPr>
          <w:b/>
          <w:bCs/>
          <w:color w:val="auto"/>
        </w:rPr>
        <w:t>587</w:t>
      </w:r>
      <w:r w:rsidRPr="008A1573">
        <w:rPr>
          <w:b/>
          <w:bCs/>
          <w:color w:val="auto"/>
        </w:rPr>
        <w:t xml:space="preserve"> million in </w:t>
      </w:r>
      <w:r w:rsidR="00DB3916" w:rsidRPr="008A1573">
        <w:rPr>
          <w:b/>
          <w:bCs/>
          <w:color w:val="auto"/>
        </w:rPr>
        <w:t>September</w:t>
      </w:r>
      <w:r w:rsidRPr="008A1573">
        <w:rPr>
          <w:b/>
          <w:bCs/>
          <w:color w:val="auto"/>
        </w:rPr>
        <w:t xml:space="preserve"> 2013. </w:t>
      </w:r>
      <w:r>
        <w:rPr>
          <w:color w:val="auto"/>
        </w:rPr>
        <w:t>H</w:t>
      </w:r>
      <w:r w:rsidRPr="00F53C1A">
        <w:rPr>
          <w:color w:val="auto"/>
        </w:rPr>
        <w:t>owever, on a cumulative basis</w:t>
      </w:r>
      <w:r>
        <w:rPr>
          <w:color w:val="auto"/>
        </w:rPr>
        <w:t>,</w:t>
      </w:r>
      <w:r w:rsidRPr="00F53C1A">
        <w:rPr>
          <w:color w:val="auto"/>
        </w:rPr>
        <w:t xml:space="preserve"> trade deficit </w:t>
      </w:r>
      <w:r>
        <w:rPr>
          <w:color w:val="auto"/>
        </w:rPr>
        <w:t>during the</w:t>
      </w:r>
      <w:r w:rsidRPr="00F53C1A">
        <w:rPr>
          <w:color w:val="auto"/>
        </w:rPr>
        <w:t xml:space="preserve"> </w:t>
      </w:r>
      <w:r>
        <w:rPr>
          <w:color w:val="auto"/>
        </w:rPr>
        <w:t xml:space="preserve">first </w:t>
      </w:r>
      <w:r w:rsidR="00DB3916">
        <w:rPr>
          <w:color w:val="auto"/>
        </w:rPr>
        <w:t>nine</w:t>
      </w:r>
      <w:r>
        <w:rPr>
          <w:color w:val="auto"/>
        </w:rPr>
        <w:t xml:space="preserve"> months</w:t>
      </w:r>
      <w:r w:rsidRPr="00F53C1A">
        <w:rPr>
          <w:color w:val="auto"/>
        </w:rPr>
        <w:t xml:space="preserve"> </w:t>
      </w:r>
      <w:r>
        <w:rPr>
          <w:color w:val="auto"/>
        </w:rPr>
        <w:t>of</w:t>
      </w:r>
      <w:r w:rsidRPr="00F53C1A">
        <w:rPr>
          <w:color w:val="auto"/>
        </w:rPr>
        <w:t xml:space="preserve"> 2014 </w:t>
      </w:r>
      <w:r w:rsidR="00596C07">
        <w:rPr>
          <w:color w:val="auto"/>
        </w:rPr>
        <w:t>narrowed</w:t>
      </w:r>
      <w:r w:rsidRPr="00F53C1A">
        <w:rPr>
          <w:color w:val="auto"/>
        </w:rPr>
        <w:t xml:space="preserve"> by </w:t>
      </w:r>
      <w:r w:rsidR="00DB3916">
        <w:rPr>
          <w:color w:val="auto"/>
        </w:rPr>
        <w:t>3.6</w:t>
      </w:r>
      <w:r w:rsidRPr="00F53C1A">
        <w:rPr>
          <w:color w:val="auto"/>
        </w:rPr>
        <w:t xml:space="preserve"> per cent compared to</w:t>
      </w:r>
      <w:r>
        <w:rPr>
          <w:color w:val="auto"/>
        </w:rPr>
        <w:t xml:space="preserve"> the</w:t>
      </w:r>
      <w:r w:rsidRPr="00F53C1A">
        <w:rPr>
          <w:color w:val="auto"/>
        </w:rPr>
        <w:t xml:space="preserve"> corresponding period in</w:t>
      </w:r>
      <w:r>
        <w:rPr>
          <w:color w:val="auto"/>
        </w:rPr>
        <w:t xml:space="preserve"> </w:t>
      </w:r>
      <w:r w:rsidRPr="00F53C1A">
        <w:rPr>
          <w:color w:val="auto"/>
        </w:rPr>
        <w:t>2013.</w:t>
      </w:r>
    </w:p>
    <w:p w:rsidR="004652E4" w:rsidRDefault="00D41474" w:rsidP="00596C07">
      <w:pPr>
        <w:pStyle w:val="Default"/>
        <w:spacing w:after="120" w:line="360" w:lineRule="auto"/>
        <w:jc w:val="both"/>
        <w:rPr>
          <w:b/>
          <w:bCs/>
          <w:lang w:val="en-GB"/>
        </w:rPr>
      </w:pPr>
      <w:r w:rsidRPr="00C14E48">
        <w:rPr>
          <w:b/>
          <w:bCs/>
          <w:lang w:val="en-GB"/>
        </w:rPr>
        <w:t xml:space="preserve"> </w:t>
      </w:r>
      <w:r w:rsidR="00BA147B">
        <w:rPr>
          <w:b/>
          <w:bCs/>
          <w:lang w:val="en-GB"/>
        </w:rPr>
        <w:t xml:space="preserve">      </w:t>
      </w:r>
    </w:p>
    <w:p w:rsidR="00BD4F91" w:rsidRDefault="00BD4F91" w:rsidP="00596C07">
      <w:pPr>
        <w:pStyle w:val="Default"/>
        <w:spacing w:after="120" w:line="360" w:lineRule="auto"/>
        <w:jc w:val="both"/>
        <w:rPr>
          <w:b/>
          <w:bCs/>
          <w:lang w:val="en-GB"/>
        </w:rPr>
      </w:pPr>
    </w:p>
    <w:p w:rsidR="00B508BF" w:rsidRDefault="00BA147B" w:rsidP="00596C07">
      <w:pPr>
        <w:pStyle w:val="Default"/>
        <w:spacing w:after="120" w:line="360" w:lineRule="auto"/>
        <w:jc w:val="both"/>
        <w:rPr>
          <w:b/>
          <w:bCs/>
          <w:lang w:val="en-GB"/>
        </w:rPr>
      </w:pPr>
      <w:r>
        <w:rPr>
          <w:b/>
          <w:bCs/>
          <w:lang w:val="en-GB"/>
        </w:rPr>
        <w:t xml:space="preserve">                                                                                                                                                                                                                                                                                                                                                                                                                                                                                                                                                                                                                                                                                                                                                                                                                                                                                                                                                                                                                                                                                                                                                                                                                                                                                                                                                                                                                                                                                                                                                                                                                                                                                                                                                                                                                                                                                                                                                                                                                                                                                                                                                                           </w:t>
      </w:r>
    </w:p>
    <w:p w:rsidR="001C4CAD" w:rsidRPr="00FA719D" w:rsidRDefault="001C4CAD" w:rsidP="001C4CAD">
      <w:pPr>
        <w:pStyle w:val="Default"/>
        <w:spacing w:after="120" w:line="360" w:lineRule="auto"/>
        <w:jc w:val="both"/>
        <w:rPr>
          <w:b/>
          <w:bCs/>
          <w:lang w:val="en-GB"/>
        </w:rPr>
      </w:pPr>
      <w:r w:rsidRPr="00FA719D">
        <w:rPr>
          <w:b/>
          <w:bCs/>
          <w:lang w:val="en-GB"/>
        </w:rPr>
        <w:t xml:space="preserve">Earnings from Tourism </w:t>
      </w:r>
    </w:p>
    <w:p w:rsidR="001C4CAD" w:rsidRPr="00FA719D" w:rsidRDefault="001C4CAD" w:rsidP="001C4CAD">
      <w:pPr>
        <w:pStyle w:val="Default"/>
        <w:spacing w:after="120" w:line="360" w:lineRule="auto"/>
        <w:jc w:val="both"/>
        <w:rPr>
          <w:lang w:val="en-GB"/>
        </w:rPr>
      </w:pPr>
      <w:r w:rsidRPr="008A1573">
        <w:rPr>
          <w:b/>
          <w:bCs/>
          <w:lang w:val="en-GB"/>
        </w:rPr>
        <w:t xml:space="preserve">Tourist arrivals continued to record </w:t>
      </w:r>
      <w:r w:rsidR="00957446">
        <w:rPr>
          <w:b/>
          <w:bCs/>
          <w:lang w:val="en-GB"/>
        </w:rPr>
        <w:t>an impressive</w:t>
      </w:r>
      <w:r w:rsidRPr="008A1573">
        <w:rPr>
          <w:b/>
          <w:bCs/>
          <w:lang w:val="en-GB"/>
        </w:rPr>
        <w:t xml:space="preserve"> growth of 16.8 per cent, year-on year in September 2014, with 105,535 tourists arriving during the month.</w:t>
      </w:r>
      <w:r>
        <w:rPr>
          <w:lang w:val="en-GB"/>
        </w:rPr>
        <w:t xml:space="preserve"> Consequently, the cumulative tourist arrivals in the first nine </w:t>
      </w:r>
      <w:r w:rsidR="00F5399D">
        <w:rPr>
          <w:lang w:val="en-GB"/>
        </w:rPr>
        <w:t>months</w:t>
      </w:r>
      <w:r>
        <w:rPr>
          <w:lang w:val="en-GB"/>
        </w:rPr>
        <w:t xml:space="preserve"> </w:t>
      </w:r>
      <w:r w:rsidR="00663257">
        <w:rPr>
          <w:lang w:val="en-GB"/>
        </w:rPr>
        <w:t>grew by</w:t>
      </w:r>
      <w:r w:rsidR="00957446">
        <w:rPr>
          <w:lang w:val="en-GB"/>
        </w:rPr>
        <w:t xml:space="preserve"> </w:t>
      </w:r>
      <w:r>
        <w:rPr>
          <w:lang w:val="en-GB"/>
        </w:rPr>
        <w:t xml:space="preserve">22.4 per cent </w:t>
      </w:r>
      <w:r w:rsidR="00663257">
        <w:rPr>
          <w:lang w:val="en-GB"/>
        </w:rPr>
        <w:t xml:space="preserve">to 1,107,178 compared </w:t>
      </w:r>
      <w:r>
        <w:rPr>
          <w:lang w:val="en-GB"/>
        </w:rPr>
        <w:t xml:space="preserve">to </w:t>
      </w:r>
      <w:r w:rsidR="00663257">
        <w:rPr>
          <w:lang w:val="en-GB"/>
        </w:rPr>
        <w:t xml:space="preserve">the </w:t>
      </w:r>
      <w:r>
        <w:rPr>
          <w:lang w:val="en-GB"/>
        </w:rPr>
        <w:t>corresponding period of 2013.</w:t>
      </w:r>
      <w:r>
        <w:rPr>
          <w:bCs/>
        </w:rPr>
        <w:t xml:space="preserve"> </w:t>
      </w:r>
      <w:r w:rsidRPr="00FA719D">
        <w:rPr>
          <w:lang w:val="en-GB"/>
        </w:rPr>
        <w:t xml:space="preserve">Earnings from tourism are estimated to </w:t>
      </w:r>
      <w:r>
        <w:rPr>
          <w:lang w:val="en-GB"/>
        </w:rPr>
        <w:t>be US dollars 152 million in September 2014 compared to US dollars 122 million recorded in September 2013. The substantial increase in tourist arrivals as well as the increase in estimated average spending per night resulted in the cumulative earnings from tourism recording a growth of 31.4 per cent to US dollars 1.6 billion during the first nine month</w:t>
      </w:r>
      <w:r w:rsidR="00957446">
        <w:rPr>
          <w:lang w:val="en-GB"/>
        </w:rPr>
        <w:t>s</w:t>
      </w:r>
      <w:r>
        <w:rPr>
          <w:lang w:val="en-GB"/>
        </w:rPr>
        <w:t xml:space="preserve"> of 2014 compared to US dollars </w:t>
      </w:r>
      <w:r w:rsidR="001627A1">
        <w:rPr>
          <w:lang w:val="en-GB"/>
        </w:rPr>
        <w:t>1.2 b</w:t>
      </w:r>
      <w:r>
        <w:rPr>
          <w:lang w:val="en-GB"/>
        </w:rPr>
        <w:t xml:space="preserve">illion during the same period in 2013. </w:t>
      </w:r>
    </w:p>
    <w:p w:rsidR="001C4CAD" w:rsidRDefault="001C4CAD" w:rsidP="001C4CAD">
      <w:pPr>
        <w:pStyle w:val="Default"/>
        <w:spacing w:after="120" w:line="276" w:lineRule="auto"/>
        <w:jc w:val="both"/>
        <w:rPr>
          <w:b/>
          <w:bCs/>
          <w:lang w:val="en-GB"/>
        </w:rPr>
      </w:pPr>
    </w:p>
    <w:p w:rsidR="001C4CAD" w:rsidRPr="00FA719D" w:rsidRDefault="001C4CAD" w:rsidP="001C4CAD">
      <w:pPr>
        <w:pStyle w:val="Default"/>
        <w:spacing w:after="120" w:line="360" w:lineRule="auto"/>
        <w:jc w:val="both"/>
        <w:rPr>
          <w:b/>
          <w:bCs/>
          <w:lang w:val="en-GB"/>
        </w:rPr>
      </w:pPr>
      <w:r w:rsidRPr="00FA719D">
        <w:rPr>
          <w:b/>
          <w:bCs/>
          <w:lang w:val="en-GB"/>
        </w:rPr>
        <w:t>Workers’ remittances</w:t>
      </w:r>
    </w:p>
    <w:p w:rsidR="001C4CAD" w:rsidRPr="000F10FF" w:rsidRDefault="001C4CAD" w:rsidP="001C4CAD">
      <w:pPr>
        <w:pStyle w:val="Default"/>
        <w:spacing w:after="120" w:line="360" w:lineRule="auto"/>
        <w:jc w:val="both"/>
        <w:rPr>
          <w:lang w:val="en-GB"/>
        </w:rPr>
      </w:pPr>
      <w:r w:rsidRPr="008A1573">
        <w:rPr>
          <w:b/>
          <w:bCs/>
          <w:lang w:val="en-GB"/>
        </w:rPr>
        <w:t xml:space="preserve">Workers’ remittances recorded an increase of </w:t>
      </w:r>
      <w:r w:rsidR="008A1573" w:rsidRPr="008A1573">
        <w:rPr>
          <w:b/>
          <w:bCs/>
          <w:lang w:val="en-GB"/>
        </w:rPr>
        <w:t>3.1</w:t>
      </w:r>
      <w:r w:rsidR="00D475F1">
        <w:rPr>
          <w:b/>
          <w:bCs/>
          <w:lang w:val="en-GB"/>
        </w:rPr>
        <w:t xml:space="preserve"> per cent, </w:t>
      </w:r>
      <w:r w:rsidRPr="008A1573">
        <w:rPr>
          <w:b/>
          <w:bCs/>
          <w:lang w:val="en-GB"/>
        </w:rPr>
        <w:t>year</w:t>
      </w:r>
      <w:r w:rsidR="00D475F1">
        <w:rPr>
          <w:b/>
          <w:bCs/>
          <w:lang w:val="en-GB"/>
        </w:rPr>
        <w:t>-</w:t>
      </w:r>
      <w:r w:rsidRPr="008A1573">
        <w:rPr>
          <w:b/>
          <w:bCs/>
          <w:lang w:val="en-GB"/>
        </w:rPr>
        <w:t xml:space="preserve"> on</w:t>
      </w:r>
      <w:r w:rsidR="00D475F1">
        <w:rPr>
          <w:b/>
          <w:bCs/>
          <w:lang w:val="en-GB"/>
        </w:rPr>
        <w:t>-</w:t>
      </w:r>
      <w:r w:rsidRPr="008A1573">
        <w:rPr>
          <w:b/>
          <w:bCs/>
          <w:lang w:val="en-GB"/>
        </w:rPr>
        <w:t xml:space="preserve"> year</w:t>
      </w:r>
      <w:r w:rsidR="00D475F1">
        <w:rPr>
          <w:b/>
          <w:bCs/>
          <w:lang w:val="en-GB"/>
        </w:rPr>
        <w:t>,</w:t>
      </w:r>
      <w:r w:rsidRPr="008A1573">
        <w:rPr>
          <w:b/>
          <w:bCs/>
          <w:lang w:val="en-GB"/>
        </w:rPr>
        <w:t xml:space="preserve"> amounting to US dollars 57</w:t>
      </w:r>
      <w:r w:rsidR="008A1573" w:rsidRPr="008A1573">
        <w:rPr>
          <w:b/>
          <w:bCs/>
          <w:lang w:val="en-GB"/>
        </w:rPr>
        <w:t>5</w:t>
      </w:r>
      <w:r w:rsidRPr="008A1573">
        <w:rPr>
          <w:b/>
          <w:bCs/>
          <w:lang w:val="en-GB"/>
        </w:rPr>
        <w:t xml:space="preserve"> million in September 2014 compared to US dollars 558 million r</w:t>
      </w:r>
      <w:r w:rsidR="00BD4F91">
        <w:rPr>
          <w:b/>
          <w:bCs/>
          <w:lang w:val="en-GB"/>
        </w:rPr>
        <w:t xml:space="preserve">ecorded in September 2013. </w:t>
      </w:r>
      <w:r>
        <w:rPr>
          <w:lang w:val="en-GB"/>
        </w:rPr>
        <w:t>C</w:t>
      </w:r>
      <w:r w:rsidRPr="000F10FF">
        <w:rPr>
          <w:lang w:val="en-GB"/>
        </w:rPr>
        <w:t>umulative inflows from workers’ r</w:t>
      </w:r>
      <w:r>
        <w:rPr>
          <w:lang w:val="en-GB"/>
        </w:rPr>
        <w:t>emittances stood at US dollars 5</w:t>
      </w:r>
      <w:r w:rsidRPr="000F10FF">
        <w:rPr>
          <w:lang w:val="en-GB"/>
        </w:rPr>
        <w:t>,</w:t>
      </w:r>
      <w:r>
        <w:rPr>
          <w:lang w:val="en-GB"/>
        </w:rPr>
        <w:t>0</w:t>
      </w:r>
      <w:r w:rsidR="008A1573">
        <w:rPr>
          <w:lang w:val="en-GB"/>
        </w:rPr>
        <w:t>90</w:t>
      </w:r>
      <w:r w:rsidRPr="000F10FF">
        <w:rPr>
          <w:lang w:val="en-GB"/>
        </w:rPr>
        <w:t xml:space="preserve"> million</w:t>
      </w:r>
      <w:r>
        <w:rPr>
          <w:lang w:val="en-GB"/>
        </w:rPr>
        <w:t xml:space="preserve"> for the first nine months of 2014</w:t>
      </w:r>
      <w:r w:rsidRPr="000F10FF">
        <w:rPr>
          <w:lang w:val="en-GB"/>
        </w:rPr>
        <w:t xml:space="preserve">, a growth of </w:t>
      </w:r>
      <w:r>
        <w:rPr>
          <w:lang w:val="en-GB"/>
        </w:rPr>
        <w:t>9.1</w:t>
      </w:r>
      <w:r w:rsidRPr="000F10FF">
        <w:rPr>
          <w:lang w:val="en-GB"/>
        </w:rPr>
        <w:t xml:space="preserve"> per cent compared to the corresponding period of 2013.</w:t>
      </w:r>
    </w:p>
    <w:p w:rsidR="001C4CAD" w:rsidRDefault="001C4CAD" w:rsidP="001C4CAD">
      <w:pPr>
        <w:pStyle w:val="Default"/>
        <w:spacing w:after="120" w:line="276" w:lineRule="auto"/>
        <w:jc w:val="both"/>
        <w:rPr>
          <w:b/>
          <w:bCs/>
          <w:lang w:val="en-GB"/>
        </w:rPr>
      </w:pPr>
    </w:p>
    <w:p w:rsidR="001C4CAD" w:rsidRPr="00FA719D" w:rsidRDefault="001C4CAD" w:rsidP="001C4CAD">
      <w:pPr>
        <w:pStyle w:val="Default"/>
        <w:spacing w:after="120" w:line="360" w:lineRule="auto"/>
        <w:jc w:val="both"/>
        <w:rPr>
          <w:b/>
          <w:bCs/>
          <w:lang w:val="en-GB"/>
        </w:rPr>
      </w:pPr>
      <w:r w:rsidRPr="00FA719D">
        <w:rPr>
          <w:b/>
          <w:bCs/>
          <w:lang w:val="en-GB"/>
        </w:rPr>
        <w:t>Financial Flows</w:t>
      </w:r>
    </w:p>
    <w:p w:rsidR="001C4CAD" w:rsidRPr="000F10FF" w:rsidRDefault="001C4CAD" w:rsidP="001C4CAD">
      <w:pPr>
        <w:pStyle w:val="Default"/>
        <w:spacing w:after="120" w:line="360" w:lineRule="auto"/>
        <w:jc w:val="both"/>
        <w:rPr>
          <w:lang w:val="en-GB"/>
        </w:rPr>
      </w:pPr>
      <w:r w:rsidRPr="008A1573">
        <w:rPr>
          <w:b/>
          <w:bCs/>
          <w:lang w:val="en-GB"/>
        </w:rPr>
        <w:t xml:space="preserve">For the first nine months of 2014, long term loans obtained by the Government amounted to US dollars 1,232 million, which is a decrease of 5.7 percent from the comparable period in 2013. </w:t>
      </w:r>
      <w:r w:rsidRPr="000F10FF">
        <w:rPr>
          <w:lang w:val="en-GB"/>
        </w:rPr>
        <w:t xml:space="preserve">Net inflows to the Government securities market from January to end </w:t>
      </w:r>
      <w:r>
        <w:rPr>
          <w:lang w:val="en-GB"/>
        </w:rPr>
        <w:t xml:space="preserve">September </w:t>
      </w:r>
      <w:r w:rsidRPr="000F10FF">
        <w:rPr>
          <w:lang w:val="en-GB"/>
        </w:rPr>
        <w:t xml:space="preserve">2014 amounted to US dollars </w:t>
      </w:r>
      <w:r>
        <w:rPr>
          <w:lang w:val="en-GB"/>
        </w:rPr>
        <w:t>100</w:t>
      </w:r>
      <w:r w:rsidRPr="000F10FF">
        <w:rPr>
          <w:lang w:val="en-GB"/>
        </w:rPr>
        <w:t xml:space="preserve"> million</w:t>
      </w:r>
      <w:r>
        <w:rPr>
          <w:lang w:val="en-GB"/>
        </w:rPr>
        <w:t xml:space="preserve">, despite </w:t>
      </w:r>
      <w:r w:rsidR="00957446">
        <w:rPr>
          <w:lang w:val="en-GB"/>
        </w:rPr>
        <w:t>some</w:t>
      </w:r>
      <w:r>
        <w:rPr>
          <w:lang w:val="en-GB"/>
        </w:rPr>
        <w:t xml:space="preserve"> outflows recorded in foreign investment in Government securities during August and September</w:t>
      </w:r>
      <w:r w:rsidRPr="000F10FF">
        <w:rPr>
          <w:lang w:val="en-GB"/>
        </w:rPr>
        <w:t>.</w:t>
      </w:r>
      <w:r w:rsidR="00957446">
        <w:rPr>
          <w:lang w:val="en-GB"/>
        </w:rPr>
        <w:t xml:space="preserve"> Meanwhile,</w:t>
      </w:r>
      <w:r>
        <w:rPr>
          <w:lang w:val="en-GB"/>
        </w:rPr>
        <w:t xml:space="preserve"> f</w:t>
      </w:r>
      <w:r w:rsidRPr="000F10FF">
        <w:rPr>
          <w:lang w:val="en-GB"/>
        </w:rPr>
        <w:t>ore</w:t>
      </w:r>
      <w:r w:rsidR="00957446">
        <w:rPr>
          <w:lang w:val="en-GB"/>
        </w:rPr>
        <w:t>ign i</w:t>
      </w:r>
      <w:r w:rsidRPr="000F10FF">
        <w:rPr>
          <w:lang w:val="en-GB"/>
        </w:rPr>
        <w:t xml:space="preserve">nvestments in the Colombo Stock Exchange (CSE) recorded a net outflow of US dollars </w:t>
      </w:r>
      <w:r w:rsidR="00B62351">
        <w:rPr>
          <w:lang w:val="en-GB"/>
        </w:rPr>
        <w:t>9.5</w:t>
      </w:r>
      <w:r>
        <w:rPr>
          <w:lang w:val="en-GB"/>
        </w:rPr>
        <w:t xml:space="preserve"> </w:t>
      </w:r>
      <w:r w:rsidRPr="000F10FF">
        <w:rPr>
          <w:lang w:val="en-GB"/>
        </w:rPr>
        <w:t xml:space="preserve">million in </w:t>
      </w:r>
      <w:r>
        <w:rPr>
          <w:lang w:val="en-GB"/>
        </w:rPr>
        <w:t>September</w:t>
      </w:r>
      <w:r w:rsidRPr="000F10FF">
        <w:rPr>
          <w:lang w:val="en-GB"/>
        </w:rPr>
        <w:t xml:space="preserve"> 2014</w:t>
      </w:r>
      <w:r w:rsidR="00957446">
        <w:rPr>
          <w:lang w:val="en-GB"/>
        </w:rPr>
        <w:t>,</w:t>
      </w:r>
      <w:r>
        <w:rPr>
          <w:lang w:val="en-GB"/>
        </w:rPr>
        <w:t xml:space="preserve"> </w:t>
      </w:r>
      <w:r w:rsidR="00BD4F91">
        <w:rPr>
          <w:lang w:val="en-GB"/>
        </w:rPr>
        <w:t>although</w:t>
      </w:r>
      <w:r>
        <w:rPr>
          <w:lang w:val="en-GB"/>
        </w:rPr>
        <w:t>, on a</w:t>
      </w:r>
      <w:r w:rsidRPr="000F10FF">
        <w:rPr>
          <w:lang w:val="en-GB"/>
        </w:rPr>
        <w:t xml:space="preserve"> cumul</w:t>
      </w:r>
      <w:r w:rsidR="008A1573">
        <w:rPr>
          <w:lang w:val="en-GB"/>
        </w:rPr>
        <w:t xml:space="preserve">ative basis, foreign investment </w:t>
      </w:r>
      <w:r w:rsidRPr="000F10FF">
        <w:rPr>
          <w:lang w:val="en-GB"/>
        </w:rPr>
        <w:t xml:space="preserve">in the CSE </w:t>
      </w:r>
      <w:r w:rsidR="00957446">
        <w:rPr>
          <w:lang w:val="en-GB"/>
        </w:rPr>
        <w:t>stood at US dollars 10</w:t>
      </w:r>
      <w:r w:rsidR="00B62351">
        <w:rPr>
          <w:lang w:val="en-GB"/>
        </w:rPr>
        <w:t>7</w:t>
      </w:r>
      <w:r w:rsidR="00957446">
        <w:rPr>
          <w:lang w:val="en-GB"/>
        </w:rPr>
        <w:t xml:space="preserve"> million by end October 2014</w:t>
      </w:r>
      <w:r w:rsidRPr="000F10FF">
        <w:rPr>
          <w:lang w:val="en-GB"/>
        </w:rPr>
        <w:t xml:space="preserve">. </w:t>
      </w:r>
      <w:r>
        <w:rPr>
          <w:lang w:val="en-GB"/>
        </w:rPr>
        <w:t>Further</w:t>
      </w:r>
      <w:r w:rsidRPr="000F10FF">
        <w:rPr>
          <w:lang w:val="en-GB"/>
        </w:rPr>
        <w:t xml:space="preserve">, inflows to Licensed Commercial Banks (LCBs) and Licensed Specialised Banks (LSBs) during the first </w:t>
      </w:r>
      <w:r>
        <w:rPr>
          <w:lang w:val="en-GB"/>
        </w:rPr>
        <w:t>nine</w:t>
      </w:r>
      <w:r w:rsidRPr="000F10FF">
        <w:rPr>
          <w:lang w:val="en-GB"/>
        </w:rPr>
        <w:t xml:space="preserve"> months in 2014 amounted to US dollars </w:t>
      </w:r>
      <w:r>
        <w:rPr>
          <w:lang w:val="en-GB"/>
        </w:rPr>
        <w:t xml:space="preserve">450 </w:t>
      </w:r>
      <w:r w:rsidRPr="000F10FF">
        <w:rPr>
          <w:lang w:val="en-GB"/>
        </w:rPr>
        <w:t xml:space="preserve">million. </w:t>
      </w:r>
      <w:r>
        <w:rPr>
          <w:lang w:val="en-GB"/>
        </w:rPr>
        <w:t>This includes a major inflow of US dollars 250 million received from the international bond issuance by the National Saving</w:t>
      </w:r>
      <w:r w:rsidR="00957446">
        <w:rPr>
          <w:lang w:val="en-GB"/>
        </w:rPr>
        <w:t>s</w:t>
      </w:r>
      <w:r>
        <w:rPr>
          <w:lang w:val="en-GB"/>
        </w:rPr>
        <w:t xml:space="preserve"> Bank during September 2014.</w:t>
      </w:r>
    </w:p>
    <w:p w:rsidR="001C4CAD" w:rsidRDefault="001C4CAD" w:rsidP="001C4CAD">
      <w:pPr>
        <w:pStyle w:val="Default"/>
        <w:spacing w:after="120" w:line="360" w:lineRule="auto"/>
        <w:jc w:val="both"/>
        <w:rPr>
          <w:b/>
          <w:bCs/>
          <w:lang w:val="en-GB"/>
        </w:rPr>
      </w:pPr>
    </w:p>
    <w:p w:rsidR="001C4CAD" w:rsidRPr="00FA719D" w:rsidRDefault="001C4CAD" w:rsidP="001C4CAD">
      <w:pPr>
        <w:pStyle w:val="Default"/>
        <w:spacing w:after="120" w:line="360" w:lineRule="auto"/>
        <w:jc w:val="both"/>
        <w:rPr>
          <w:b/>
          <w:bCs/>
          <w:lang w:val="en-GB"/>
        </w:rPr>
      </w:pPr>
      <w:r w:rsidRPr="00FA719D">
        <w:rPr>
          <w:b/>
          <w:bCs/>
          <w:lang w:val="en-GB"/>
        </w:rPr>
        <w:t xml:space="preserve">Overall BOP Position </w:t>
      </w:r>
    </w:p>
    <w:p w:rsidR="001C4CAD" w:rsidRPr="000F10FF" w:rsidRDefault="001C4CAD" w:rsidP="001C4CAD">
      <w:pPr>
        <w:pStyle w:val="Default"/>
        <w:spacing w:after="120" w:line="360" w:lineRule="auto"/>
        <w:jc w:val="both"/>
        <w:rPr>
          <w:lang w:val="en-GB"/>
        </w:rPr>
      </w:pPr>
      <w:r>
        <w:rPr>
          <w:lang w:val="en-GB"/>
        </w:rPr>
        <w:t xml:space="preserve">With continuous inflows to the current </w:t>
      </w:r>
      <w:r w:rsidR="00957446">
        <w:rPr>
          <w:lang w:val="en-GB"/>
        </w:rPr>
        <w:t xml:space="preserve">and capital </w:t>
      </w:r>
      <w:r>
        <w:rPr>
          <w:lang w:val="en-GB"/>
        </w:rPr>
        <w:t>account</w:t>
      </w:r>
      <w:r w:rsidR="00957446">
        <w:rPr>
          <w:lang w:val="en-GB"/>
        </w:rPr>
        <w:t>s</w:t>
      </w:r>
      <w:r>
        <w:rPr>
          <w:lang w:val="en-GB"/>
        </w:rPr>
        <w:t>, t</w:t>
      </w:r>
      <w:r w:rsidRPr="000F10FF">
        <w:rPr>
          <w:lang w:val="en-GB"/>
        </w:rPr>
        <w:t xml:space="preserve">he </w:t>
      </w:r>
      <w:r>
        <w:rPr>
          <w:lang w:val="en-GB"/>
        </w:rPr>
        <w:t xml:space="preserve">overall balance of the </w:t>
      </w:r>
      <w:r w:rsidRPr="000F10FF">
        <w:rPr>
          <w:lang w:val="en-GB"/>
        </w:rPr>
        <w:t xml:space="preserve">BOP is estimated to have recorded a surplus of US dollars </w:t>
      </w:r>
      <w:r>
        <w:rPr>
          <w:lang w:val="en-GB"/>
        </w:rPr>
        <w:t>1,996</w:t>
      </w:r>
      <w:r w:rsidRPr="000F10FF">
        <w:rPr>
          <w:lang w:val="en-GB"/>
        </w:rPr>
        <w:t xml:space="preserve"> million </w:t>
      </w:r>
      <w:r>
        <w:rPr>
          <w:lang w:val="en-GB"/>
        </w:rPr>
        <w:t xml:space="preserve">during the first nine months of 2014 </w:t>
      </w:r>
      <w:r w:rsidRPr="000F10FF">
        <w:rPr>
          <w:lang w:val="en-GB"/>
        </w:rPr>
        <w:t xml:space="preserve">compared to </w:t>
      </w:r>
      <w:r>
        <w:rPr>
          <w:lang w:val="en-GB"/>
        </w:rPr>
        <w:t>a surplus</w:t>
      </w:r>
      <w:r w:rsidRPr="000F10FF">
        <w:rPr>
          <w:lang w:val="en-GB"/>
        </w:rPr>
        <w:t xml:space="preserve"> of US dollars </w:t>
      </w:r>
      <w:r>
        <w:rPr>
          <w:lang w:val="en-GB"/>
        </w:rPr>
        <w:t>585</w:t>
      </w:r>
      <w:r w:rsidRPr="000F10FF">
        <w:rPr>
          <w:lang w:val="en-GB"/>
        </w:rPr>
        <w:t xml:space="preserve"> million in the corresponding period of 2013. </w:t>
      </w:r>
    </w:p>
    <w:p w:rsidR="001C4CAD" w:rsidRDefault="001C4CAD" w:rsidP="001C4CAD">
      <w:pPr>
        <w:pStyle w:val="Default"/>
        <w:spacing w:after="120" w:line="276" w:lineRule="auto"/>
        <w:jc w:val="both"/>
        <w:rPr>
          <w:b/>
          <w:bCs/>
          <w:lang w:val="en-GB"/>
        </w:rPr>
      </w:pPr>
    </w:p>
    <w:p w:rsidR="001C4CAD" w:rsidRPr="00FA719D" w:rsidRDefault="001C4CAD" w:rsidP="001C4CAD">
      <w:pPr>
        <w:pStyle w:val="Default"/>
        <w:spacing w:after="120" w:line="360" w:lineRule="auto"/>
        <w:jc w:val="both"/>
        <w:rPr>
          <w:b/>
          <w:bCs/>
          <w:lang w:val="en-GB"/>
        </w:rPr>
      </w:pPr>
      <w:r w:rsidRPr="00FA719D">
        <w:rPr>
          <w:b/>
          <w:bCs/>
          <w:lang w:val="en-GB"/>
        </w:rPr>
        <w:t xml:space="preserve">International Reserves </w:t>
      </w:r>
    </w:p>
    <w:p w:rsidR="001C4CAD" w:rsidRDefault="00EC6ECB" w:rsidP="001C4CAD">
      <w:pPr>
        <w:pStyle w:val="Default"/>
        <w:spacing w:after="120" w:line="360" w:lineRule="auto"/>
        <w:jc w:val="both"/>
        <w:rPr>
          <w:lang w:val="en-GB"/>
        </w:rPr>
      </w:pPr>
      <w:r w:rsidRPr="007E5863">
        <w:rPr>
          <w:b/>
          <w:bCs/>
          <w:lang w:val="en-GB"/>
        </w:rPr>
        <w:t>Notwithstanding</w:t>
      </w:r>
      <w:r w:rsidR="004652E4" w:rsidRPr="007E5863">
        <w:rPr>
          <w:b/>
          <w:bCs/>
          <w:lang w:val="en-GB"/>
        </w:rPr>
        <w:t xml:space="preserve"> outflows on account of foreign debt service payments amounting to US dollars 1,886 million and IMF-SBA payments amounting to US dollars 594 million, </w:t>
      </w:r>
      <w:r w:rsidR="001C4CAD" w:rsidRPr="007E5863">
        <w:rPr>
          <w:b/>
          <w:bCs/>
          <w:lang w:val="en-GB"/>
        </w:rPr>
        <w:t xml:space="preserve">Sri Lanka’s gross official reserves </w:t>
      </w:r>
      <w:r w:rsidR="004652E4" w:rsidRPr="007E5863">
        <w:rPr>
          <w:b/>
          <w:bCs/>
          <w:lang w:val="en-GB"/>
        </w:rPr>
        <w:t>continued to remain high at</w:t>
      </w:r>
      <w:r w:rsidR="001C4CAD" w:rsidRPr="007E5863">
        <w:rPr>
          <w:b/>
          <w:bCs/>
          <w:lang w:val="en-GB"/>
        </w:rPr>
        <w:t xml:space="preserve"> US dollars 8.8 billion as of end September 2014.</w:t>
      </w:r>
      <w:r w:rsidR="001C4CAD" w:rsidRPr="000F10FF">
        <w:rPr>
          <w:lang w:val="en-GB"/>
        </w:rPr>
        <w:t xml:space="preserve"> </w:t>
      </w:r>
      <w:r w:rsidR="001C4CAD">
        <w:rPr>
          <w:lang w:val="en-GB"/>
        </w:rPr>
        <w:t>Mean</w:t>
      </w:r>
      <w:r w:rsidR="001C4CAD" w:rsidRPr="000F10FF">
        <w:rPr>
          <w:lang w:val="en-GB"/>
        </w:rPr>
        <w:t xml:space="preserve">while total foreign assets, which include foreign assets of the banking </w:t>
      </w:r>
      <w:r w:rsidR="004652E4" w:rsidRPr="000F10FF">
        <w:rPr>
          <w:lang w:val="en-GB"/>
        </w:rPr>
        <w:t>sector,</w:t>
      </w:r>
      <w:r w:rsidR="001C4CAD" w:rsidRPr="000F10FF">
        <w:rPr>
          <w:lang w:val="en-GB"/>
        </w:rPr>
        <w:t xml:space="preserve"> amounted to US dollars </w:t>
      </w:r>
      <w:r w:rsidR="00F00599">
        <w:rPr>
          <w:lang w:val="en-GB"/>
        </w:rPr>
        <w:t>10.2</w:t>
      </w:r>
      <w:r w:rsidR="001C4CAD" w:rsidRPr="000F10FF">
        <w:rPr>
          <w:lang w:val="en-GB"/>
        </w:rPr>
        <w:t xml:space="preserve"> billion. In terms of months of imports, gross official reserves were equivalent to 5.</w:t>
      </w:r>
      <w:r w:rsidR="00597626">
        <w:rPr>
          <w:lang w:val="en-GB"/>
        </w:rPr>
        <w:t>6</w:t>
      </w:r>
      <w:r w:rsidR="001C4CAD" w:rsidRPr="000F10FF">
        <w:rPr>
          <w:lang w:val="en-GB"/>
        </w:rPr>
        <w:t xml:space="preserve"> months of imports </w:t>
      </w:r>
      <w:r w:rsidR="001C4CAD">
        <w:rPr>
          <w:lang w:val="en-GB"/>
        </w:rPr>
        <w:t xml:space="preserve">as </w:t>
      </w:r>
      <w:r w:rsidR="001C4CAD" w:rsidRPr="000F10FF">
        <w:rPr>
          <w:lang w:val="en-GB"/>
        </w:rPr>
        <w:t xml:space="preserve">at end </w:t>
      </w:r>
      <w:r w:rsidR="001C4CAD">
        <w:rPr>
          <w:lang w:val="en-GB"/>
        </w:rPr>
        <w:t>September</w:t>
      </w:r>
      <w:r w:rsidR="001C4CAD" w:rsidRPr="000F10FF">
        <w:rPr>
          <w:lang w:val="en-GB"/>
        </w:rPr>
        <w:t xml:space="preserve"> 2014, while total foreign assets were equivalent to </w:t>
      </w:r>
      <w:r w:rsidR="00F00599">
        <w:rPr>
          <w:lang w:val="en-GB"/>
        </w:rPr>
        <w:t>6.</w:t>
      </w:r>
      <w:r w:rsidR="00BC554F">
        <w:rPr>
          <w:lang w:val="en-GB"/>
        </w:rPr>
        <w:t>5</w:t>
      </w:r>
      <w:r w:rsidR="001C4CAD" w:rsidRPr="000F10FF">
        <w:rPr>
          <w:lang w:val="en-GB"/>
        </w:rPr>
        <w:t xml:space="preserve"> months of imports. </w:t>
      </w:r>
    </w:p>
    <w:p w:rsidR="00957446" w:rsidRPr="004652E4" w:rsidRDefault="00957446" w:rsidP="001C4CAD">
      <w:pPr>
        <w:pStyle w:val="Default"/>
        <w:spacing w:after="120" w:line="360" w:lineRule="auto"/>
        <w:jc w:val="both"/>
        <w:rPr>
          <w:lang w:val="en-GB"/>
        </w:rPr>
      </w:pPr>
    </w:p>
    <w:p w:rsidR="001C4CAD" w:rsidRPr="00FA719D" w:rsidRDefault="001C4CAD" w:rsidP="001C4CAD">
      <w:pPr>
        <w:pStyle w:val="Default"/>
        <w:spacing w:after="120" w:line="360" w:lineRule="auto"/>
        <w:jc w:val="both"/>
        <w:rPr>
          <w:b/>
          <w:bCs/>
          <w:lang w:val="en-GB"/>
        </w:rPr>
      </w:pPr>
      <w:r w:rsidRPr="00FA719D">
        <w:rPr>
          <w:b/>
          <w:bCs/>
          <w:lang w:val="en-GB"/>
        </w:rPr>
        <w:t>Exchange Rate Behaviour</w:t>
      </w:r>
    </w:p>
    <w:p w:rsidR="001C4CAD" w:rsidRPr="00273874" w:rsidRDefault="00957446" w:rsidP="001C4CAD">
      <w:pPr>
        <w:pStyle w:val="Default"/>
        <w:spacing w:after="120" w:line="360" w:lineRule="auto"/>
        <w:jc w:val="both"/>
        <w:rPr>
          <w:lang w:val="en-GB"/>
        </w:rPr>
      </w:pPr>
      <w:r>
        <w:rPr>
          <w:b/>
          <w:bCs/>
          <w:lang w:val="en-GB"/>
        </w:rPr>
        <w:t>T</w:t>
      </w:r>
      <w:r w:rsidR="001C4CAD" w:rsidRPr="007E5863">
        <w:rPr>
          <w:b/>
          <w:bCs/>
          <w:lang w:val="en-GB"/>
        </w:rPr>
        <w:t xml:space="preserve">he </w:t>
      </w:r>
      <w:r>
        <w:rPr>
          <w:b/>
          <w:bCs/>
          <w:lang w:val="en-GB"/>
        </w:rPr>
        <w:t>S</w:t>
      </w:r>
      <w:r w:rsidR="003762C9">
        <w:rPr>
          <w:b/>
          <w:bCs/>
          <w:lang w:val="en-GB"/>
        </w:rPr>
        <w:t>r</w:t>
      </w:r>
      <w:r>
        <w:rPr>
          <w:b/>
          <w:bCs/>
          <w:lang w:val="en-GB"/>
        </w:rPr>
        <w:t xml:space="preserve">i Lankan </w:t>
      </w:r>
      <w:r w:rsidR="001C4CAD" w:rsidRPr="007E5863">
        <w:rPr>
          <w:b/>
          <w:bCs/>
          <w:lang w:val="en-GB"/>
        </w:rPr>
        <w:t>rupee remained stable against the US dollar with</w:t>
      </w:r>
      <w:r w:rsidR="00EC435E">
        <w:rPr>
          <w:b/>
          <w:bCs/>
          <w:lang w:val="en-GB"/>
        </w:rPr>
        <w:t xml:space="preserve"> a marginal depreciation of 0.06</w:t>
      </w:r>
      <w:r w:rsidR="001C4CAD" w:rsidRPr="007E5863">
        <w:rPr>
          <w:b/>
          <w:bCs/>
          <w:lang w:val="en-GB"/>
        </w:rPr>
        <w:t xml:space="preserve"> per cent</w:t>
      </w:r>
      <w:r w:rsidR="00EC435E">
        <w:rPr>
          <w:b/>
          <w:bCs/>
          <w:lang w:val="en-GB"/>
        </w:rPr>
        <w:t xml:space="preserve"> during the year</w:t>
      </w:r>
      <w:r w:rsidR="00B62351">
        <w:rPr>
          <w:b/>
          <w:bCs/>
          <w:lang w:val="en-GB"/>
        </w:rPr>
        <w:t xml:space="preserve"> to</w:t>
      </w:r>
      <w:r w:rsidR="00EC435E">
        <w:rPr>
          <w:b/>
          <w:bCs/>
          <w:lang w:val="en-GB"/>
        </w:rPr>
        <w:t xml:space="preserve"> 03</w:t>
      </w:r>
      <w:r>
        <w:rPr>
          <w:b/>
          <w:bCs/>
          <w:lang w:val="en-GB"/>
        </w:rPr>
        <w:t xml:space="preserve"> November 2014</w:t>
      </w:r>
      <w:r w:rsidR="001C4CAD" w:rsidRPr="007E5863">
        <w:rPr>
          <w:b/>
          <w:bCs/>
          <w:lang w:val="en-GB"/>
        </w:rPr>
        <w:t>.</w:t>
      </w:r>
      <w:r w:rsidR="001C4CAD" w:rsidRPr="002B06C4">
        <w:rPr>
          <w:lang w:val="en-GB"/>
        </w:rPr>
        <w:t xml:space="preserve"> Based on cross currency exchange rate movements, the Sri Lankan rupee app</w:t>
      </w:r>
      <w:r w:rsidR="00EC435E">
        <w:rPr>
          <w:lang w:val="en-GB"/>
        </w:rPr>
        <w:t>re</w:t>
      </w:r>
      <w:r w:rsidR="003762C9">
        <w:rPr>
          <w:lang w:val="en-GB"/>
        </w:rPr>
        <w:t>ciated against the euro by 10.5</w:t>
      </w:r>
      <w:r w:rsidR="001C4CAD" w:rsidRPr="002B06C4">
        <w:rPr>
          <w:lang w:val="en-GB"/>
        </w:rPr>
        <w:t xml:space="preserve"> p</w:t>
      </w:r>
      <w:r w:rsidR="00EC435E">
        <w:rPr>
          <w:lang w:val="en-GB"/>
        </w:rPr>
        <w:t>e</w:t>
      </w:r>
      <w:r w:rsidR="003762C9">
        <w:rPr>
          <w:lang w:val="en-GB"/>
        </w:rPr>
        <w:t>r cent, the Japanese yen by 7.3</w:t>
      </w:r>
      <w:r w:rsidR="001C4CAD" w:rsidRPr="002B06C4">
        <w:rPr>
          <w:lang w:val="en-GB"/>
        </w:rPr>
        <w:t xml:space="preserve"> per</w:t>
      </w:r>
      <w:r w:rsidR="001C4CAD">
        <w:rPr>
          <w:lang w:val="en-GB"/>
        </w:rPr>
        <w:t xml:space="preserve"> cent, th</w:t>
      </w:r>
      <w:r w:rsidR="003762C9">
        <w:rPr>
          <w:lang w:val="en-GB"/>
        </w:rPr>
        <w:t>e pound sterling by 3.2</w:t>
      </w:r>
      <w:r w:rsidR="001C4CAD" w:rsidRPr="002B06C4">
        <w:rPr>
          <w:lang w:val="en-GB"/>
        </w:rPr>
        <w:t xml:space="preserve"> per </w:t>
      </w:r>
      <w:r w:rsidR="00EC435E">
        <w:rPr>
          <w:lang w:val="en-GB"/>
        </w:rPr>
        <w:t>cent, the Canadian dollar by 5.9</w:t>
      </w:r>
      <w:r w:rsidR="001C4CAD" w:rsidRPr="002B06C4">
        <w:rPr>
          <w:lang w:val="en-GB"/>
        </w:rPr>
        <w:t xml:space="preserve"> per</w:t>
      </w:r>
      <w:r w:rsidR="00EC435E">
        <w:rPr>
          <w:lang w:val="en-GB"/>
        </w:rPr>
        <w:t xml:space="preserve"> cent , Australian Doll</w:t>
      </w:r>
      <w:r w:rsidR="003762C9">
        <w:rPr>
          <w:lang w:val="en-GB"/>
        </w:rPr>
        <w:t>ar by 2.2</w:t>
      </w:r>
      <w:r w:rsidR="00EC435E">
        <w:rPr>
          <w:lang w:val="en-GB"/>
        </w:rPr>
        <w:t xml:space="preserve"> </w:t>
      </w:r>
      <w:r w:rsidR="003762C9">
        <w:rPr>
          <w:lang w:val="en-GB"/>
        </w:rPr>
        <w:t>and the Chinese renminbi by 0.8</w:t>
      </w:r>
      <w:r w:rsidR="001C4CAD" w:rsidRPr="002B06C4">
        <w:rPr>
          <w:lang w:val="en-GB"/>
        </w:rPr>
        <w:t xml:space="preserve"> per cent. Meanwhile, the Sri Lankan rupee depreciated</w:t>
      </w:r>
      <w:r w:rsidR="00EC435E">
        <w:rPr>
          <w:lang w:val="en-GB"/>
        </w:rPr>
        <w:t xml:space="preserve"> against the Indian rupee by 0.9</w:t>
      </w:r>
      <w:r w:rsidR="001C4CAD" w:rsidRPr="002B06C4">
        <w:rPr>
          <w:lang w:val="en-GB"/>
        </w:rPr>
        <w:t xml:space="preserve"> per cent.</w:t>
      </w:r>
      <w:r w:rsidR="001C4CAD">
        <w:rPr>
          <w:lang w:val="en-GB"/>
        </w:rPr>
        <w:t xml:space="preserve"> </w:t>
      </w:r>
    </w:p>
    <w:p w:rsidR="001C4CAD" w:rsidRDefault="001C4CAD" w:rsidP="00B508BF">
      <w:pPr>
        <w:pStyle w:val="Default"/>
        <w:spacing w:after="120" w:line="360" w:lineRule="auto"/>
        <w:jc w:val="both"/>
        <w:rPr>
          <w:b/>
          <w:bCs/>
          <w:lang w:val="en-GB"/>
        </w:rPr>
      </w:pPr>
    </w:p>
    <w:p w:rsidR="001C4CAD" w:rsidRDefault="001C4CAD" w:rsidP="00B508BF">
      <w:pPr>
        <w:pStyle w:val="Default"/>
        <w:spacing w:after="120" w:line="360" w:lineRule="auto"/>
        <w:jc w:val="both"/>
        <w:rPr>
          <w:b/>
          <w:bCs/>
          <w:lang w:val="en-GB"/>
        </w:rPr>
      </w:pPr>
    </w:p>
    <w:p w:rsidR="00957446" w:rsidRDefault="00957446" w:rsidP="00B508BF">
      <w:pPr>
        <w:pStyle w:val="Default"/>
        <w:spacing w:after="120" w:line="360" w:lineRule="auto"/>
        <w:jc w:val="both"/>
        <w:rPr>
          <w:b/>
          <w:bCs/>
          <w:lang w:val="en-GB"/>
        </w:rPr>
      </w:pPr>
    </w:p>
    <w:p w:rsidR="001C4CAD" w:rsidRDefault="001C4CAD" w:rsidP="00B508BF">
      <w:pPr>
        <w:pStyle w:val="Default"/>
        <w:spacing w:after="120" w:line="360" w:lineRule="auto"/>
        <w:jc w:val="both"/>
        <w:rPr>
          <w:b/>
          <w:bCs/>
          <w:lang w:val="en-GB"/>
        </w:rPr>
      </w:pPr>
    </w:p>
    <w:p w:rsidR="00B508BF" w:rsidRPr="00C14E48" w:rsidRDefault="00B508BF" w:rsidP="00B508BF">
      <w:pPr>
        <w:pStyle w:val="Default"/>
        <w:spacing w:after="120" w:line="360" w:lineRule="auto"/>
        <w:jc w:val="both"/>
        <w:rPr>
          <w:b/>
          <w:bCs/>
          <w:lang w:val="en-GB"/>
        </w:rPr>
      </w:pPr>
      <w:r w:rsidRPr="00C14E48">
        <w:rPr>
          <w:b/>
          <w:bCs/>
          <w:lang w:val="en-GB"/>
        </w:rPr>
        <w:t xml:space="preserve">Table </w:t>
      </w:r>
      <w:r>
        <w:rPr>
          <w:b/>
          <w:bCs/>
          <w:lang w:val="en-GB"/>
        </w:rPr>
        <w:t>3</w:t>
      </w:r>
      <w:r w:rsidRPr="00C14E48">
        <w:rPr>
          <w:b/>
          <w:bCs/>
          <w:lang w:val="en-GB"/>
        </w:rPr>
        <w:t>.  A Summary of External Sector Performance</w:t>
      </w:r>
      <w:r>
        <w:rPr>
          <w:b/>
          <w:bCs/>
          <w:lang w:val="en-GB"/>
        </w:rPr>
        <w:t xml:space="preserve">: </w:t>
      </w:r>
      <w:r w:rsidRPr="00C14E48">
        <w:rPr>
          <w:b/>
          <w:bCs/>
          <w:lang w:val="en-GB"/>
        </w:rPr>
        <w:t xml:space="preserve"> January - </w:t>
      </w:r>
      <w:r w:rsidR="00D82337">
        <w:rPr>
          <w:b/>
          <w:bCs/>
          <w:lang w:val="en-GB"/>
        </w:rPr>
        <w:t>September</w:t>
      </w:r>
      <w:r w:rsidRPr="00C14E48">
        <w:rPr>
          <w:b/>
          <w:bCs/>
          <w:lang w:val="en-GB"/>
        </w:rPr>
        <w:t xml:space="preserve"> 2014</w:t>
      </w:r>
      <w:r w:rsidRPr="00C14E48">
        <w:rPr>
          <w:b/>
          <w:bCs/>
          <w:vertAlign w:val="superscript"/>
          <w:lang w:val="en-GB"/>
        </w:rPr>
        <w:t xml:space="preserve"> </w:t>
      </w:r>
      <w:r w:rsidRPr="00C14E48">
        <w:rPr>
          <w:b/>
          <w:bCs/>
          <w:lang w:val="en-GB"/>
        </w:rPr>
        <w:t>(a)</w:t>
      </w:r>
    </w:p>
    <w:tbl>
      <w:tblPr>
        <w:tblW w:w="10530" w:type="dxa"/>
        <w:tblInd w:w="-1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FFFF"/>
        <w:tblLayout w:type="fixed"/>
        <w:tblLook w:val="00A0"/>
      </w:tblPr>
      <w:tblGrid>
        <w:gridCol w:w="3510"/>
        <w:gridCol w:w="1170"/>
        <w:gridCol w:w="1170"/>
        <w:gridCol w:w="1170"/>
        <w:gridCol w:w="1170"/>
        <w:gridCol w:w="1170"/>
        <w:gridCol w:w="1170"/>
      </w:tblGrid>
      <w:tr w:rsidR="00875C2D" w:rsidRPr="0052524D" w:rsidTr="00BD4F91">
        <w:trPr>
          <w:trHeight w:val="941"/>
        </w:trPr>
        <w:tc>
          <w:tcPr>
            <w:tcW w:w="3510" w:type="dxa"/>
            <w:tcBorders>
              <w:bottom w:val="single" w:sz="8" w:space="0" w:color="FFFFFF"/>
            </w:tcBorders>
            <w:shd w:val="clear" w:color="auto" w:fill="D9D9D9"/>
            <w:vAlign w:val="center"/>
          </w:tcPr>
          <w:p w:rsidR="00B508BF" w:rsidRPr="0052524D" w:rsidRDefault="00B508BF" w:rsidP="00076361">
            <w:pPr>
              <w:keepNext/>
              <w:tabs>
                <w:tab w:val="left" w:pos="0"/>
              </w:tabs>
              <w:suppressAutoHyphens/>
              <w:jc w:val="center"/>
              <w:rPr>
                <w:rFonts w:ascii="Book Antiqua" w:hAnsi="Book Antiqua" w:cs="Latha"/>
                <w:b/>
                <w:bCs/>
                <w:sz w:val="20"/>
                <w:szCs w:val="20"/>
              </w:rPr>
            </w:pPr>
            <w:r w:rsidRPr="0052524D">
              <w:rPr>
                <w:rFonts w:ascii="Book Antiqua" w:hAnsi="Book Antiqua" w:cs="Latha"/>
                <w:b/>
                <w:bCs/>
                <w:sz w:val="20"/>
                <w:szCs w:val="20"/>
              </w:rPr>
              <w:t>Category</w:t>
            </w:r>
          </w:p>
        </w:tc>
        <w:tc>
          <w:tcPr>
            <w:tcW w:w="1170" w:type="dxa"/>
            <w:tcBorders>
              <w:bottom w:val="single" w:sz="8" w:space="0" w:color="FFFFFF"/>
            </w:tcBorders>
            <w:shd w:val="clear" w:color="auto" w:fill="D9D9D9"/>
            <w:vAlign w:val="center"/>
          </w:tcPr>
          <w:p w:rsidR="00B508BF" w:rsidRPr="00875C2D" w:rsidRDefault="00875C2D"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September</w:t>
            </w:r>
            <w:r w:rsidR="00B508BF" w:rsidRPr="00875C2D">
              <w:rPr>
                <w:rFonts w:ascii="Book Antiqua" w:hAnsi="Book Antiqua" w:cs="Latha"/>
                <w:b/>
                <w:bCs/>
                <w:sz w:val="18"/>
                <w:szCs w:val="18"/>
              </w:rPr>
              <w:t xml:space="preserve"> 2013</w:t>
            </w:r>
          </w:p>
          <w:p w:rsidR="00B508BF" w:rsidRPr="00875C2D" w:rsidRDefault="00B508BF" w:rsidP="00076361">
            <w:pPr>
              <w:keepNext/>
              <w:tabs>
                <w:tab w:val="left" w:pos="0"/>
              </w:tabs>
              <w:suppressAutoHyphens/>
              <w:spacing w:line="360" w:lineRule="auto"/>
              <w:jc w:val="center"/>
              <w:rPr>
                <w:rFonts w:ascii="Book Antiqua" w:hAnsi="Book Antiqua" w:cs="Latha"/>
                <w:b/>
                <w:bCs/>
                <w:sz w:val="18"/>
                <w:szCs w:val="18"/>
              </w:rPr>
            </w:pPr>
            <w:r w:rsidRPr="00875C2D">
              <w:rPr>
                <w:rFonts w:ascii="Book Antiqua" w:hAnsi="Book Antiqua" w:cs="Latha"/>
                <w:b/>
                <w:bCs/>
                <w:sz w:val="18"/>
                <w:szCs w:val="18"/>
              </w:rPr>
              <w:t>US$ mn</w:t>
            </w:r>
          </w:p>
        </w:tc>
        <w:tc>
          <w:tcPr>
            <w:tcW w:w="1170" w:type="dxa"/>
            <w:tcBorders>
              <w:bottom w:val="single" w:sz="8" w:space="0" w:color="FFFFFF"/>
            </w:tcBorders>
            <w:shd w:val="clear" w:color="auto" w:fill="D9D9D9"/>
            <w:vAlign w:val="center"/>
          </w:tcPr>
          <w:p w:rsidR="00B508BF" w:rsidRPr="00875C2D" w:rsidRDefault="00875C2D"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September</w:t>
            </w:r>
          </w:p>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2014</w:t>
            </w:r>
          </w:p>
          <w:p w:rsidR="00B508BF" w:rsidRPr="00875C2D" w:rsidRDefault="00B508BF" w:rsidP="00076361">
            <w:pPr>
              <w:keepNext/>
              <w:tabs>
                <w:tab w:val="left" w:pos="0"/>
              </w:tabs>
              <w:suppressAutoHyphens/>
              <w:spacing w:line="360" w:lineRule="auto"/>
              <w:jc w:val="center"/>
              <w:rPr>
                <w:rFonts w:ascii="Book Antiqua" w:hAnsi="Book Antiqua" w:cs="Latha"/>
                <w:b/>
                <w:bCs/>
                <w:sz w:val="18"/>
                <w:szCs w:val="18"/>
              </w:rPr>
            </w:pPr>
            <w:r w:rsidRPr="00875C2D">
              <w:rPr>
                <w:rFonts w:ascii="Book Antiqua" w:hAnsi="Book Antiqua" w:cs="Latha"/>
                <w:b/>
                <w:bCs/>
                <w:sz w:val="18"/>
                <w:szCs w:val="18"/>
              </w:rPr>
              <w:t>US$ mn</w:t>
            </w:r>
          </w:p>
        </w:tc>
        <w:tc>
          <w:tcPr>
            <w:tcW w:w="1170" w:type="dxa"/>
            <w:tcBorders>
              <w:bottom w:val="single" w:sz="8" w:space="0" w:color="FFFFFF"/>
            </w:tcBorders>
            <w:shd w:val="clear" w:color="auto" w:fill="D9D9D9"/>
            <w:vAlign w:val="center"/>
          </w:tcPr>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Growth</w:t>
            </w:r>
          </w:p>
          <w:p w:rsidR="00B508BF" w:rsidRPr="00875C2D" w:rsidRDefault="00875C2D"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September</w:t>
            </w:r>
          </w:p>
          <w:p w:rsidR="00B508BF" w:rsidRPr="00875C2D" w:rsidRDefault="00B508BF" w:rsidP="00076361">
            <w:pPr>
              <w:keepNext/>
              <w:tabs>
                <w:tab w:val="left" w:pos="0"/>
              </w:tabs>
              <w:suppressAutoHyphens/>
              <w:spacing w:line="360" w:lineRule="auto"/>
              <w:jc w:val="center"/>
              <w:rPr>
                <w:rFonts w:ascii="Book Antiqua" w:hAnsi="Book Antiqua" w:cs="Latha"/>
                <w:b/>
                <w:bCs/>
                <w:sz w:val="18"/>
                <w:szCs w:val="18"/>
              </w:rPr>
            </w:pPr>
            <w:r w:rsidRPr="00875C2D">
              <w:rPr>
                <w:rFonts w:ascii="Book Antiqua" w:hAnsi="Book Antiqua" w:cs="Latha"/>
                <w:b/>
                <w:bCs/>
                <w:sz w:val="18"/>
                <w:szCs w:val="18"/>
              </w:rPr>
              <w:t>(%)</w:t>
            </w:r>
          </w:p>
        </w:tc>
        <w:tc>
          <w:tcPr>
            <w:tcW w:w="1170" w:type="dxa"/>
            <w:tcBorders>
              <w:bottom w:val="single" w:sz="8" w:space="0" w:color="FFFFFF"/>
            </w:tcBorders>
            <w:shd w:val="clear" w:color="auto" w:fill="D9D9D9"/>
            <w:vAlign w:val="center"/>
          </w:tcPr>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Jan-</w:t>
            </w:r>
            <w:r w:rsidR="00875C2D" w:rsidRPr="00875C2D">
              <w:rPr>
                <w:rFonts w:ascii="Book Antiqua" w:hAnsi="Book Antiqua" w:cs="Latha"/>
                <w:b/>
                <w:bCs/>
                <w:sz w:val="18"/>
                <w:szCs w:val="18"/>
              </w:rPr>
              <w:t>September</w:t>
            </w:r>
          </w:p>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2013</w:t>
            </w:r>
          </w:p>
          <w:p w:rsidR="00B508BF" w:rsidRPr="00875C2D" w:rsidRDefault="00B508BF" w:rsidP="00076361">
            <w:pPr>
              <w:keepNext/>
              <w:tabs>
                <w:tab w:val="left" w:pos="0"/>
              </w:tabs>
              <w:suppressAutoHyphens/>
              <w:spacing w:line="360" w:lineRule="auto"/>
              <w:jc w:val="center"/>
              <w:rPr>
                <w:rFonts w:ascii="Book Antiqua" w:hAnsi="Book Antiqua" w:cs="Latha"/>
                <w:b/>
                <w:bCs/>
                <w:sz w:val="18"/>
                <w:szCs w:val="18"/>
              </w:rPr>
            </w:pPr>
            <w:r w:rsidRPr="00875C2D">
              <w:rPr>
                <w:rFonts w:ascii="Book Antiqua" w:hAnsi="Book Antiqua" w:cs="Latha"/>
                <w:b/>
                <w:bCs/>
                <w:sz w:val="18"/>
                <w:szCs w:val="18"/>
              </w:rPr>
              <w:t>US$ mn</w:t>
            </w:r>
          </w:p>
        </w:tc>
        <w:tc>
          <w:tcPr>
            <w:tcW w:w="1170" w:type="dxa"/>
            <w:tcBorders>
              <w:bottom w:val="single" w:sz="8" w:space="0" w:color="FFFFFF"/>
            </w:tcBorders>
            <w:shd w:val="clear" w:color="auto" w:fill="D9D9D9"/>
            <w:vAlign w:val="center"/>
          </w:tcPr>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 xml:space="preserve">Jan- </w:t>
            </w:r>
            <w:r w:rsidR="00875C2D" w:rsidRPr="00875C2D">
              <w:rPr>
                <w:rFonts w:ascii="Book Antiqua" w:hAnsi="Book Antiqua" w:cs="Latha"/>
                <w:b/>
                <w:bCs/>
                <w:sz w:val="18"/>
                <w:szCs w:val="18"/>
              </w:rPr>
              <w:t>September</w:t>
            </w:r>
          </w:p>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2014</w:t>
            </w:r>
          </w:p>
          <w:p w:rsidR="00B508BF" w:rsidRPr="00875C2D" w:rsidRDefault="00B508BF" w:rsidP="00076361">
            <w:pPr>
              <w:keepNext/>
              <w:tabs>
                <w:tab w:val="left" w:pos="0"/>
              </w:tabs>
              <w:suppressAutoHyphens/>
              <w:spacing w:line="360" w:lineRule="auto"/>
              <w:jc w:val="center"/>
              <w:rPr>
                <w:rFonts w:ascii="Book Antiqua" w:hAnsi="Book Antiqua" w:cs="Latha"/>
                <w:b/>
                <w:bCs/>
                <w:sz w:val="18"/>
                <w:szCs w:val="18"/>
              </w:rPr>
            </w:pPr>
            <w:r w:rsidRPr="00875C2D">
              <w:rPr>
                <w:rFonts w:ascii="Book Antiqua" w:hAnsi="Book Antiqua" w:cs="Latha"/>
                <w:b/>
                <w:bCs/>
                <w:sz w:val="18"/>
                <w:szCs w:val="18"/>
              </w:rPr>
              <w:t>US$ mn</w:t>
            </w:r>
          </w:p>
        </w:tc>
        <w:tc>
          <w:tcPr>
            <w:tcW w:w="1170" w:type="dxa"/>
            <w:tcBorders>
              <w:bottom w:val="single" w:sz="8" w:space="0" w:color="FFFFFF"/>
            </w:tcBorders>
            <w:shd w:val="clear" w:color="auto" w:fill="D9D9D9"/>
            <w:vAlign w:val="center"/>
          </w:tcPr>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Growth</w:t>
            </w:r>
          </w:p>
          <w:p w:rsidR="00B508BF" w:rsidRPr="00875C2D" w:rsidRDefault="00B508BF" w:rsidP="00076361">
            <w:pPr>
              <w:keepNext/>
              <w:tabs>
                <w:tab w:val="left" w:pos="0"/>
              </w:tabs>
              <w:suppressAutoHyphens/>
              <w:jc w:val="center"/>
              <w:rPr>
                <w:rFonts w:ascii="Book Antiqua" w:hAnsi="Book Antiqua" w:cs="Latha"/>
                <w:b/>
                <w:bCs/>
                <w:sz w:val="18"/>
                <w:szCs w:val="18"/>
              </w:rPr>
            </w:pPr>
            <w:r w:rsidRPr="00875C2D">
              <w:rPr>
                <w:rFonts w:ascii="Book Antiqua" w:hAnsi="Book Antiqua" w:cs="Latha"/>
                <w:b/>
                <w:bCs/>
                <w:sz w:val="18"/>
                <w:szCs w:val="18"/>
              </w:rPr>
              <w:t xml:space="preserve">Jan- </w:t>
            </w:r>
            <w:r w:rsidR="00875C2D" w:rsidRPr="00875C2D">
              <w:rPr>
                <w:rFonts w:ascii="Book Antiqua" w:hAnsi="Book Antiqua" w:cs="Latha"/>
                <w:b/>
                <w:bCs/>
                <w:sz w:val="18"/>
                <w:szCs w:val="18"/>
              </w:rPr>
              <w:t>September</w:t>
            </w:r>
          </w:p>
          <w:p w:rsidR="00B508BF" w:rsidRPr="00875C2D" w:rsidRDefault="00B508BF" w:rsidP="00076361">
            <w:pPr>
              <w:keepNext/>
              <w:tabs>
                <w:tab w:val="left" w:pos="0"/>
              </w:tabs>
              <w:suppressAutoHyphens/>
              <w:spacing w:line="360" w:lineRule="auto"/>
              <w:jc w:val="center"/>
              <w:rPr>
                <w:rFonts w:ascii="Book Antiqua" w:hAnsi="Book Antiqua" w:cs="Latha"/>
                <w:b/>
                <w:bCs/>
                <w:sz w:val="18"/>
                <w:szCs w:val="18"/>
              </w:rPr>
            </w:pPr>
            <w:r w:rsidRPr="00875C2D">
              <w:rPr>
                <w:rFonts w:ascii="Book Antiqua" w:hAnsi="Book Antiqua" w:cs="Latha"/>
                <w:b/>
                <w:bCs/>
                <w:sz w:val="18"/>
                <w:szCs w:val="18"/>
              </w:rPr>
              <w:t>(%)</w:t>
            </w:r>
          </w:p>
        </w:tc>
      </w:tr>
      <w:tr w:rsidR="00875C2D" w:rsidRPr="00D41474" w:rsidTr="00BD4F91">
        <w:trPr>
          <w:trHeight w:val="352"/>
        </w:trPr>
        <w:tc>
          <w:tcPr>
            <w:tcW w:w="3510" w:type="dxa"/>
            <w:tcBorders>
              <w:bottom w:val="single" w:sz="8" w:space="0" w:color="FFFFFF"/>
            </w:tcBorders>
            <w:shd w:val="clear" w:color="auto" w:fill="FFFFFF"/>
            <w:vAlign w:val="center"/>
          </w:tcPr>
          <w:p w:rsidR="00B508BF" w:rsidRPr="00D41474" w:rsidRDefault="00B508BF" w:rsidP="00076361">
            <w:pPr>
              <w:keepNext/>
              <w:tabs>
                <w:tab w:val="left" w:pos="0"/>
              </w:tabs>
              <w:suppressAutoHyphens/>
              <w:rPr>
                <w:rFonts w:ascii="Book Antiqua" w:hAnsi="Book Antiqua" w:cs="Latha"/>
                <w:sz w:val="20"/>
                <w:szCs w:val="20"/>
              </w:rPr>
            </w:pPr>
            <w:r w:rsidRPr="00D41474">
              <w:rPr>
                <w:rFonts w:ascii="Book Antiqua" w:hAnsi="Book Antiqua" w:cs="Latha"/>
                <w:sz w:val="20"/>
                <w:szCs w:val="20"/>
              </w:rPr>
              <w:t>Exports</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899.0</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903.3</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0.5</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7,333.4</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8,288.2</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13.0</w:t>
            </w:r>
          </w:p>
        </w:tc>
      </w:tr>
      <w:tr w:rsidR="00875C2D" w:rsidRPr="00D41474" w:rsidTr="00BD4F91">
        <w:trPr>
          <w:trHeight w:val="352"/>
        </w:trPr>
        <w:tc>
          <w:tcPr>
            <w:tcW w:w="3510" w:type="dxa"/>
            <w:shd w:val="clear" w:color="auto" w:fill="F2F2F2"/>
            <w:vAlign w:val="center"/>
          </w:tcPr>
          <w:p w:rsidR="00B508BF" w:rsidRPr="00D41474" w:rsidRDefault="00B508BF" w:rsidP="00076361">
            <w:pPr>
              <w:keepNext/>
              <w:tabs>
                <w:tab w:val="left" w:pos="0"/>
              </w:tabs>
              <w:suppressAutoHyphens/>
              <w:rPr>
                <w:rFonts w:ascii="Book Antiqua" w:hAnsi="Book Antiqua" w:cs="Latha"/>
                <w:sz w:val="20"/>
                <w:szCs w:val="20"/>
              </w:rPr>
            </w:pPr>
            <w:r w:rsidRPr="00D41474">
              <w:rPr>
                <w:rFonts w:ascii="Book Antiqua" w:hAnsi="Book Antiqua" w:cs="Latha"/>
                <w:sz w:val="20"/>
                <w:szCs w:val="20"/>
              </w:rPr>
              <w:t>Imports</w:t>
            </w:r>
          </w:p>
        </w:tc>
        <w:tc>
          <w:tcPr>
            <w:tcW w:w="1170" w:type="dxa"/>
            <w:shd w:val="clear" w:color="auto" w:fill="F2F2F2"/>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1,486.3</w:t>
            </w:r>
          </w:p>
        </w:tc>
        <w:tc>
          <w:tcPr>
            <w:tcW w:w="1170" w:type="dxa"/>
            <w:shd w:val="clear" w:color="auto" w:fill="F2F2F2"/>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1,667.5</w:t>
            </w:r>
          </w:p>
        </w:tc>
        <w:tc>
          <w:tcPr>
            <w:tcW w:w="1170" w:type="dxa"/>
            <w:shd w:val="clear" w:color="auto" w:fill="F2F2F2"/>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12.2</w:t>
            </w:r>
          </w:p>
        </w:tc>
        <w:tc>
          <w:tcPr>
            <w:tcW w:w="1170" w:type="dxa"/>
            <w:shd w:val="clear" w:color="auto" w:fill="F2F2F2"/>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13,488.3</w:t>
            </w:r>
          </w:p>
        </w:tc>
        <w:tc>
          <w:tcPr>
            <w:tcW w:w="1170" w:type="dxa"/>
            <w:shd w:val="clear" w:color="auto" w:fill="F2F2F2"/>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14,222.3</w:t>
            </w:r>
          </w:p>
        </w:tc>
        <w:tc>
          <w:tcPr>
            <w:tcW w:w="1170" w:type="dxa"/>
            <w:shd w:val="clear" w:color="auto" w:fill="F2F2F2"/>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5.4</w:t>
            </w:r>
          </w:p>
        </w:tc>
      </w:tr>
      <w:tr w:rsidR="00875C2D" w:rsidRPr="00D41474" w:rsidTr="00BD4F91">
        <w:trPr>
          <w:trHeight w:val="352"/>
        </w:trPr>
        <w:tc>
          <w:tcPr>
            <w:tcW w:w="3510" w:type="dxa"/>
            <w:tcBorders>
              <w:bottom w:val="single" w:sz="8" w:space="0" w:color="FFFFFF"/>
            </w:tcBorders>
            <w:shd w:val="clear" w:color="auto" w:fill="FFFFFF"/>
            <w:vAlign w:val="center"/>
          </w:tcPr>
          <w:p w:rsidR="00B508BF" w:rsidRPr="00D41474" w:rsidRDefault="00B508BF" w:rsidP="00076361">
            <w:pPr>
              <w:keepNext/>
              <w:tabs>
                <w:tab w:val="left" w:pos="0"/>
              </w:tabs>
              <w:suppressAutoHyphens/>
              <w:rPr>
                <w:rFonts w:ascii="Book Antiqua" w:hAnsi="Book Antiqua" w:cs="Latha"/>
                <w:sz w:val="20"/>
                <w:szCs w:val="20"/>
              </w:rPr>
            </w:pPr>
            <w:r w:rsidRPr="00D41474">
              <w:rPr>
                <w:rFonts w:ascii="Book Antiqua" w:hAnsi="Book Antiqua" w:cs="Latha"/>
                <w:sz w:val="20"/>
                <w:szCs w:val="20"/>
              </w:rPr>
              <w:t>Trade Balance</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-587.3</w:t>
            </w:r>
          </w:p>
        </w:tc>
        <w:tc>
          <w:tcPr>
            <w:tcW w:w="1170" w:type="dxa"/>
            <w:tcBorders>
              <w:bottom w:val="single" w:sz="8" w:space="0" w:color="FFFFFF"/>
            </w:tcBorders>
            <w:shd w:val="clear" w:color="auto" w:fill="FFFFFF"/>
            <w:vAlign w:val="center"/>
          </w:tcPr>
          <w:p w:rsidR="00B508BF" w:rsidRPr="00D41474" w:rsidRDefault="00D82337" w:rsidP="00F60447">
            <w:pPr>
              <w:keepNext/>
              <w:tabs>
                <w:tab w:val="left" w:pos="0"/>
              </w:tabs>
              <w:suppressAutoHyphens/>
              <w:jc w:val="right"/>
              <w:rPr>
                <w:rFonts w:ascii="Book Antiqua" w:hAnsi="Book Antiqua" w:cs="Latha"/>
                <w:sz w:val="20"/>
                <w:szCs w:val="20"/>
              </w:rPr>
            </w:pPr>
            <w:r>
              <w:rPr>
                <w:rFonts w:ascii="Book Antiqua" w:hAnsi="Book Antiqua" w:cs="Latha"/>
                <w:sz w:val="20"/>
                <w:szCs w:val="20"/>
              </w:rPr>
              <w:t>-764.1</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30.1</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-6,154.9</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-5,934.1</w:t>
            </w:r>
          </w:p>
        </w:tc>
        <w:tc>
          <w:tcPr>
            <w:tcW w:w="1170" w:type="dxa"/>
            <w:tcBorders>
              <w:bottom w:val="single" w:sz="8" w:space="0" w:color="FFFFFF"/>
            </w:tcBorders>
            <w:shd w:val="clear" w:color="auto" w:fill="FFFFFF"/>
            <w:vAlign w:val="center"/>
          </w:tcPr>
          <w:p w:rsidR="00B508BF" w:rsidRPr="00D41474" w:rsidRDefault="00D82337" w:rsidP="00076361">
            <w:pPr>
              <w:keepNext/>
              <w:tabs>
                <w:tab w:val="left" w:pos="0"/>
              </w:tabs>
              <w:suppressAutoHyphens/>
              <w:jc w:val="right"/>
              <w:rPr>
                <w:rFonts w:ascii="Book Antiqua" w:hAnsi="Book Antiqua" w:cs="Latha"/>
                <w:sz w:val="20"/>
                <w:szCs w:val="20"/>
              </w:rPr>
            </w:pPr>
            <w:r>
              <w:rPr>
                <w:rFonts w:ascii="Book Antiqua" w:hAnsi="Book Antiqua" w:cs="Latha"/>
                <w:sz w:val="20"/>
                <w:szCs w:val="20"/>
              </w:rPr>
              <w:t>-3.6</w:t>
            </w:r>
          </w:p>
        </w:tc>
      </w:tr>
      <w:tr w:rsidR="001C4CAD" w:rsidRPr="00D41474" w:rsidTr="00BD4F91">
        <w:trPr>
          <w:trHeight w:val="352"/>
        </w:trPr>
        <w:tc>
          <w:tcPr>
            <w:tcW w:w="3510" w:type="dxa"/>
            <w:shd w:val="clear" w:color="auto" w:fill="F2F2F2"/>
            <w:vAlign w:val="center"/>
          </w:tcPr>
          <w:p w:rsidR="001C4CAD" w:rsidRDefault="001C4CAD" w:rsidP="00CC636E">
            <w:pPr>
              <w:pStyle w:val="NormalWeb"/>
            </w:pPr>
            <w:r>
              <w:rPr>
                <w:rFonts w:ascii="Book Antiqua" w:hAnsi="Book Antiqua"/>
                <w:color w:val="000000"/>
                <w:sz w:val="20"/>
                <w:szCs w:val="20"/>
              </w:rPr>
              <w:t xml:space="preserve">Earnings from Tourism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121.6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152.5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25.4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1,217.0(b)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1,599.7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31.4 </w:t>
            </w:r>
          </w:p>
        </w:tc>
      </w:tr>
      <w:tr w:rsidR="001C4CAD" w:rsidRPr="00D41474" w:rsidTr="00BD4F91">
        <w:trPr>
          <w:trHeight w:val="352"/>
        </w:trPr>
        <w:tc>
          <w:tcPr>
            <w:tcW w:w="3510" w:type="dxa"/>
            <w:tcBorders>
              <w:bottom w:val="single" w:sz="8" w:space="0" w:color="FFFFFF"/>
            </w:tcBorders>
            <w:shd w:val="clear" w:color="auto" w:fill="FFFFFF"/>
            <w:vAlign w:val="center"/>
          </w:tcPr>
          <w:p w:rsidR="001C4CAD" w:rsidRDefault="001C4CAD" w:rsidP="00CC636E">
            <w:pPr>
              <w:pStyle w:val="NormalWeb"/>
            </w:pPr>
            <w:r>
              <w:rPr>
                <w:rFonts w:ascii="Book Antiqua" w:hAnsi="Book Antiqua"/>
                <w:color w:val="000000"/>
                <w:sz w:val="20"/>
                <w:szCs w:val="20"/>
              </w:rPr>
              <w:t xml:space="preserve">Inflows to Other Trade in Services (c) </w:t>
            </w:r>
          </w:p>
        </w:tc>
        <w:tc>
          <w:tcPr>
            <w:tcW w:w="1170" w:type="dxa"/>
            <w:tcBorders>
              <w:bottom w:val="single" w:sz="8" w:space="0" w:color="FFFFFF"/>
            </w:tcBorders>
            <w:shd w:val="clear" w:color="auto" w:fill="FFFFFF"/>
            <w:vAlign w:val="center"/>
          </w:tcPr>
          <w:p w:rsidR="001C4CAD" w:rsidRDefault="001C4CAD" w:rsidP="00CC636E">
            <w:pPr>
              <w:jc w:val="right"/>
            </w:pPr>
          </w:p>
        </w:tc>
        <w:tc>
          <w:tcPr>
            <w:tcW w:w="1170" w:type="dxa"/>
            <w:tcBorders>
              <w:bottom w:val="single" w:sz="8" w:space="0" w:color="FFFFFF"/>
            </w:tcBorders>
            <w:shd w:val="clear" w:color="auto" w:fill="FFFFFF"/>
            <w:vAlign w:val="center"/>
          </w:tcPr>
          <w:p w:rsidR="001C4CAD" w:rsidRDefault="001C4CAD" w:rsidP="00CC636E">
            <w:pPr>
              <w:jc w:val="right"/>
            </w:pPr>
          </w:p>
        </w:tc>
        <w:tc>
          <w:tcPr>
            <w:tcW w:w="1170" w:type="dxa"/>
            <w:tcBorders>
              <w:bottom w:val="single" w:sz="8" w:space="0" w:color="FFFFFF"/>
            </w:tcBorders>
            <w:shd w:val="clear" w:color="auto" w:fill="FFFFFF"/>
            <w:vAlign w:val="center"/>
          </w:tcPr>
          <w:p w:rsidR="001C4CAD" w:rsidRDefault="001C4CAD" w:rsidP="00CC636E">
            <w:pPr>
              <w:jc w:val="right"/>
            </w:pP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1,469.6 (b)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1,670.5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13.7 </w:t>
            </w:r>
          </w:p>
        </w:tc>
      </w:tr>
      <w:tr w:rsidR="001C4CAD" w:rsidRPr="00D41474" w:rsidTr="00BD4F91">
        <w:trPr>
          <w:trHeight w:val="352"/>
        </w:trPr>
        <w:tc>
          <w:tcPr>
            <w:tcW w:w="3510" w:type="dxa"/>
            <w:shd w:val="clear" w:color="auto" w:fill="F2F2F2"/>
            <w:vAlign w:val="center"/>
          </w:tcPr>
          <w:p w:rsidR="001C4CAD" w:rsidRDefault="001C4CAD" w:rsidP="00CC636E">
            <w:pPr>
              <w:pStyle w:val="NormalWeb"/>
            </w:pPr>
            <w:r>
              <w:rPr>
                <w:rFonts w:ascii="Book Antiqua" w:hAnsi="Book Antiqua"/>
                <w:color w:val="000000"/>
                <w:sz w:val="20"/>
                <w:szCs w:val="20"/>
              </w:rPr>
              <w:t xml:space="preserve">Workers’ Remittances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557.8(b)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575.0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3.1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4,663.4(b)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5,089.7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9.1 </w:t>
            </w:r>
          </w:p>
        </w:tc>
      </w:tr>
      <w:tr w:rsidR="001C4CAD" w:rsidRPr="00D41474" w:rsidTr="00BD4F91">
        <w:trPr>
          <w:trHeight w:val="352"/>
        </w:trPr>
        <w:tc>
          <w:tcPr>
            <w:tcW w:w="3510" w:type="dxa"/>
            <w:tcBorders>
              <w:bottom w:val="single" w:sz="8" w:space="0" w:color="FFFFFF"/>
            </w:tcBorders>
            <w:shd w:val="clear" w:color="auto" w:fill="FFFFFF"/>
            <w:vAlign w:val="center"/>
          </w:tcPr>
          <w:p w:rsidR="001C4CAD" w:rsidRDefault="001C4CAD" w:rsidP="00CC636E">
            <w:pPr>
              <w:pStyle w:val="NormalWeb"/>
            </w:pPr>
            <w:r>
              <w:rPr>
                <w:rFonts w:ascii="Book Antiqua" w:hAnsi="Book Antiqua"/>
                <w:color w:val="000000"/>
                <w:sz w:val="20"/>
                <w:szCs w:val="20"/>
              </w:rPr>
              <w:t xml:space="preserve">Inflows to the CSE (Net)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11.1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-9.5 </w:t>
            </w:r>
          </w:p>
        </w:tc>
        <w:tc>
          <w:tcPr>
            <w:tcW w:w="1170" w:type="dxa"/>
            <w:tcBorders>
              <w:bottom w:val="single" w:sz="8" w:space="0" w:color="FFFFFF"/>
            </w:tcBorders>
            <w:shd w:val="clear" w:color="auto" w:fill="FFFFFF"/>
            <w:vAlign w:val="center"/>
          </w:tcPr>
          <w:p w:rsidR="001C4CAD" w:rsidRDefault="001C4CAD" w:rsidP="00CC636E">
            <w:pPr>
              <w:jc w:val="right"/>
            </w:pP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162.9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47.2 </w:t>
            </w:r>
          </w:p>
        </w:tc>
        <w:tc>
          <w:tcPr>
            <w:tcW w:w="1170" w:type="dxa"/>
            <w:tcBorders>
              <w:bottom w:val="single" w:sz="8" w:space="0" w:color="FFFFFF"/>
            </w:tcBorders>
            <w:shd w:val="clear" w:color="auto" w:fill="FFFFFF"/>
            <w:vAlign w:val="center"/>
          </w:tcPr>
          <w:p w:rsidR="001C4CAD" w:rsidRDefault="001C4CAD" w:rsidP="00CC636E">
            <w:pPr>
              <w:jc w:val="right"/>
            </w:pPr>
          </w:p>
        </w:tc>
      </w:tr>
      <w:tr w:rsidR="001C4CAD" w:rsidRPr="00D41474" w:rsidTr="00BD4F91">
        <w:trPr>
          <w:trHeight w:val="352"/>
        </w:trPr>
        <w:tc>
          <w:tcPr>
            <w:tcW w:w="3510" w:type="dxa"/>
            <w:shd w:val="clear" w:color="auto" w:fill="F2F2F2"/>
            <w:vAlign w:val="center"/>
          </w:tcPr>
          <w:p w:rsidR="001C4CAD" w:rsidRDefault="001C4CAD" w:rsidP="00CC636E">
            <w:pPr>
              <w:pStyle w:val="NormalWeb"/>
            </w:pPr>
            <w:r>
              <w:rPr>
                <w:rFonts w:ascii="Book Antiqua" w:hAnsi="Book Antiqua"/>
                <w:color w:val="000000"/>
                <w:sz w:val="20"/>
                <w:szCs w:val="20"/>
              </w:rPr>
              <w:t xml:space="preserve">Inflows to the Government (d)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182.9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119.3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-34.8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3,619.2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4,410.6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21.9 </w:t>
            </w:r>
          </w:p>
        </w:tc>
      </w:tr>
      <w:tr w:rsidR="001C4CAD" w:rsidRPr="00D41474" w:rsidTr="00BD4F91">
        <w:trPr>
          <w:trHeight w:val="294"/>
        </w:trPr>
        <w:tc>
          <w:tcPr>
            <w:tcW w:w="3510" w:type="dxa"/>
            <w:shd w:val="clear" w:color="auto" w:fill="FFFFFF"/>
            <w:vAlign w:val="center"/>
          </w:tcPr>
          <w:p w:rsidR="001C4CAD" w:rsidRDefault="001C4CAD" w:rsidP="00CC636E">
            <w:pPr>
              <w:pStyle w:val="NormalWeb"/>
            </w:pPr>
            <w:r>
              <w:rPr>
                <w:rFonts w:ascii="Book Antiqua" w:hAnsi="Book Antiqua"/>
                <w:color w:val="000000"/>
                <w:sz w:val="20"/>
                <w:szCs w:val="20"/>
              </w:rPr>
              <w:t xml:space="preserve">of which, </w:t>
            </w: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r>
      <w:tr w:rsidR="001C4CAD" w:rsidRPr="00D41474" w:rsidTr="00BD4F91">
        <w:trPr>
          <w:trHeight w:val="267"/>
        </w:trPr>
        <w:tc>
          <w:tcPr>
            <w:tcW w:w="3510" w:type="dxa"/>
            <w:shd w:val="clear" w:color="auto" w:fill="FFFFFF"/>
            <w:vAlign w:val="center"/>
          </w:tcPr>
          <w:p w:rsidR="001C4CAD" w:rsidRDefault="001C4CAD" w:rsidP="00CC636E">
            <w:pPr>
              <w:pStyle w:val="NormalWeb"/>
            </w:pPr>
            <w:r>
              <w:rPr>
                <w:rFonts w:ascii="Book Antiqua" w:hAnsi="Book Antiqua"/>
                <w:color w:val="000000"/>
                <w:sz w:val="20"/>
                <w:szCs w:val="20"/>
              </w:rPr>
              <w:t xml:space="preserve">      Treasury Bills and Bonds </w:t>
            </w:r>
          </w:p>
        </w:tc>
        <w:tc>
          <w:tcPr>
            <w:tcW w:w="1170" w:type="dxa"/>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29.6 </w:t>
            </w:r>
          </w:p>
        </w:tc>
        <w:tc>
          <w:tcPr>
            <w:tcW w:w="1170" w:type="dxa"/>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63.6 </w:t>
            </w:r>
          </w:p>
        </w:tc>
        <w:tc>
          <w:tcPr>
            <w:tcW w:w="1170" w:type="dxa"/>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114.5 </w:t>
            </w:r>
          </w:p>
        </w:tc>
        <w:tc>
          <w:tcPr>
            <w:tcW w:w="1170" w:type="dxa"/>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2,287.3 </w:t>
            </w:r>
          </w:p>
        </w:tc>
        <w:tc>
          <w:tcPr>
            <w:tcW w:w="1170" w:type="dxa"/>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1,610.4 </w:t>
            </w:r>
          </w:p>
        </w:tc>
        <w:tc>
          <w:tcPr>
            <w:tcW w:w="1170" w:type="dxa"/>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-29.6 </w:t>
            </w:r>
          </w:p>
        </w:tc>
      </w:tr>
      <w:tr w:rsidR="001C4CAD" w:rsidRPr="00D41474" w:rsidTr="00BD4F91">
        <w:trPr>
          <w:trHeight w:val="352"/>
        </w:trPr>
        <w:tc>
          <w:tcPr>
            <w:tcW w:w="3510" w:type="dxa"/>
            <w:shd w:val="clear" w:color="auto" w:fill="FFFFFF"/>
            <w:vAlign w:val="center"/>
          </w:tcPr>
          <w:p w:rsidR="001C4CAD" w:rsidRDefault="001C4CAD" w:rsidP="001C4CAD">
            <w:pPr>
              <w:pStyle w:val="NormalWeb"/>
            </w:pPr>
            <w:r>
              <w:rPr>
                <w:rFonts w:ascii="Book Antiqua" w:hAnsi="Book Antiqua"/>
                <w:color w:val="000000"/>
                <w:sz w:val="20"/>
                <w:szCs w:val="20"/>
              </w:rPr>
              <w:t xml:space="preserve">      International Sovereign Bonds</w:t>
            </w: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jc w:val="right"/>
            </w:pPr>
          </w:p>
        </w:tc>
        <w:tc>
          <w:tcPr>
            <w:tcW w:w="1170" w:type="dxa"/>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1,500.0 </w:t>
            </w:r>
          </w:p>
        </w:tc>
        <w:tc>
          <w:tcPr>
            <w:tcW w:w="1170" w:type="dxa"/>
            <w:shd w:val="clear" w:color="auto" w:fill="FFFFFF"/>
            <w:vAlign w:val="center"/>
          </w:tcPr>
          <w:p w:rsidR="001C4CAD" w:rsidRDefault="001C4CAD" w:rsidP="00CC636E">
            <w:pPr>
              <w:jc w:val="right"/>
            </w:pPr>
          </w:p>
        </w:tc>
      </w:tr>
      <w:tr w:rsidR="001C4CAD" w:rsidRPr="00D41474" w:rsidTr="00BD4F91">
        <w:trPr>
          <w:trHeight w:val="352"/>
        </w:trPr>
        <w:tc>
          <w:tcPr>
            <w:tcW w:w="3510" w:type="dxa"/>
            <w:tcBorders>
              <w:bottom w:val="single" w:sz="8" w:space="0" w:color="FFFFFF"/>
            </w:tcBorders>
            <w:shd w:val="clear" w:color="auto" w:fill="FFFFFF"/>
            <w:vAlign w:val="center"/>
          </w:tcPr>
          <w:p w:rsidR="001C4CAD" w:rsidRDefault="001C4CAD" w:rsidP="00CC636E">
            <w:pPr>
              <w:pStyle w:val="NormalWeb"/>
            </w:pPr>
            <w:r>
              <w:rPr>
                <w:rFonts w:ascii="Book Antiqua" w:hAnsi="Book Antiqua"/>
                <w:color w:val="000000"/>
                <w:sz w:val="20"/>
                <w:szCs w:val="20"/>
              </w:rPr>
              <w:t xml:space="preserve">      Long term Loans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151.0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54.9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-63.7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1,307.0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1,232.5 </w:t>
            </w:r>
          </w:p>
        </w:tc>
        <w:tc>
          <w:tcPr>
            <w:tcW w:w="1170" w:type="dxa"/>
            <w:tcBorders>
              <w:bottom w:val="single" w:sz="8" w:space="0" w:color="FFFFFF"/>
            </w:tcBorders>
            <w:shd w:val="clear" w:color="auto" w:fill="FFFFFF"/>
            <w:vAlign w:val="center"/>
          </w:tcPr>
          <w:p w:rsidR="001C4CAD" w:rsidRDefault="001C4CAD" w:rsidP="00CC636E">
            <w:pPr>
              <w:pStyle w:val="NormalWeb"/>
              <w:jc w:val="right"/>
            </w:pPr>
            <w:r>
              <w:rPr>
                <w:rFonts w:ascii="Book Antiqua" w:hAnsi="Book Antiqua"/>
                <w:color w:val="000000"/>
                <w:sz w:val="20"/>
                <w:szCs w:val="20"/>
              </w:rPr>
              <w:t xml:space="preserve">-5.7 </w:t>
            </w:r>
          </w:p>
        </w:tc>
      </w:tr>
      <w:tr w:rsidR="001C4CAD" w:rsidRPr="00D41474" w:rsidTr="00BD4F91">
        <w:trPr>
          <w:trHeight w:val="352"/>
        </w:trPr>
        <w:tc>
          <w:tcPr>
            <w:tcW w:w="3510" w:type="dxa"/>
            <w:shd w:val="clear" w:color="auto" w:fill="F2F2F2"/>
            <w:vAlign w:val="center"/>
          </w:tcPr>
          <w:p w:rsidR="001C4CAD" w:rsidRDefault="001C4CAD" w:rsidP="00CC636E">
            <w:pPr>
              <w:pStyle w:val="NormalWeb"/>
            </w:pPr>
            <w:r>
              <w:rPr>
                <w:rFonts w:ascii="Book Antiqua" w:hAnsi="Book Antiqua"/>
                <w:color w:val="000000"/>
                <w:sz w:val="20"/>
                <w:szCs w:val="20"/>
              </w:rPr>
              <w:t xml:space="preserve">Foreign Direct Investment (c) </w:t>
            </w:r>
          </w:p>
        </w:tc>
        <w:tc>
          <w:tcPr>
            <w:tcW w:w="1170" w:type="dxa"/>
            <w:shd w:val="clear" w:color="auto" w:fill="F2F2F2"/>
            <w:vAlign w:val="center"/>
          </w:tcPr>
          <w:p w:rsidR="001C4CAD" w:rsidRDefault="001C4CAD" w:rsidP="00CC636E">
            <w:pPr>
              <w:jc w:val="right"/>
            </w:pPr>
          </w:p>
        </w:tc>
        <w:tc>
          <w:tcPr>
            <w:tcW w:w="1170" w:type="dxa"/>
            <w:shd w:val="clear" w:color="auto" w:fill="F2F2F2"/>
            <w:vAlign w:val="center"/>
          </w:tcPr>
          <w:p w:rsidR="001C4CAD" w:rsidRDefault="001C4CAD" w:rsidP="00CC636E">
            <w:pPr>
              <w:jc w:val="right"/>
            </w:pPr>
          </w:p>
        </w:tc>
        <w:tc>
          <w:tcPr>
            <w:tcW w:w="1170" w:type="dxa"/>
            <w:shd w:val="clear" w:color="auto" w:fill="F2F2F2"/>
            <w:vAlign w:val="center"/>
          </w:tcPr>
          <w:p w:rsidR="001C4CAD" w:rsidRDefault="001C4CAD" w:rsidP="00CC636E">
            <w:pPr>
              <w:jc w:val="right"/>
            </w:pP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549.1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850.0 </w:t>
            </w:r>
          </w:p>
        </w:tc>
        <w:tc>
          <w:tcPr>
            <w:tcW w:w="1170" w:type="dxa"/>
            <w:shd w:val="clear" w:color="auto" w:fill="F2F2F2"/>
            <w:vAlign w:val="center"/>
          </w:tcPr>
          <w:p w:rsidR="001C4CAD" w:rsidRDefault="001C4CAD" w:rsidP="00CC636E">
            <w:pPr>
              <w:pStyle w:val="NormalWeb"/>
              <w:jc w:val="right"/>
            </w:pPr>
            <w:r>
              <w:rPr>
                <w:rFonts w:ascii="Book Antiqua" w:hAnsi="Book Antiqua"/>
                <w:color w:val="000000"/>
                <w:sz w:val="20"/>
                <w:szCs w:val="20"/>
              </w:rPr>
              <w:t xml:space="preserve">54.8 </w:t>
            </w:r>
          </w:p>
        </w:tc>
      </w:tr>
    </w:tbl>
    <w:p w:rsidR="00B508BF" w:rsidRDefault="00B508BF" w:rsidP="00BD4F91">
      <w:pPr>
        <w:ind w:right="-424"/>
        <w:rPr>
          <w:rFonts w:ascii="Book Antiqua" w:hAnsi="Book Antiqua" w:cs="Arial"/>
          <w:color w:val="000000"/>
          <w:sz w:val="20"/>
          <w:szCs w:val="20"/>
          <w:lang w:bidi="si-LK"/>
        </w:rPr>
      </w:pPr>
      <w:r>
        <w:rPr>
          <w:rFonts w:ascii="Book Antiqua" w:hAnsi="Book Antiqua" w:cs="Arial"/>
          <w:color w:val="000000"/>
          <w:sz w:val="20"/>
          <w:szCs w:val="20"/>
          <w:lang w:bidi="si-LK"/>
        </w:rPr>
        <w:t xml:space="preserve"> </w:t>
      </w:r>
      <w:r>
        <w:rPr>
          <w:rFonts w:ascii="Book Antiqua" w:hAnsi="Book Antiqua" w:cs="Arial"/>
          <w:color w:val="000000"/>
          <w:sz w:val="20"/>
          <w:szCs w:val="20"/>
          <w:lang w:bidi="si-LK"/>
        </w:rPr>
        <w:tab/>
      </w:r>
      <w:r w:rsidR="00BD4F91">
        <w:rPr>
          <w:rFonts w:ascii="Book Antiqua" w:hAnsi="Book Antiqua" w:cs="Arial"/>
          <w:color w:val="000000"/>
          <w:sz w:val="20"/>
          <w:szCs w:val="20"/>
          <w:lang w:bidi="si-LK"/>
        </w:rPr>
        <w:tab/>
      </w:r>
      <w:r w:rsidR="00BD4F91">
        <w:rPr>
          <w:rFonts w:ascii="Book Antiqua" w:hAnsi="Book Antiqua" w:cs="Arial"/>
          <w:color w:val="000000"/>
          <w:sz w:val="20"/>
          <w:szCs w:val="20"/>
          <w:lang w:bidi="si-LK"/>
        </w:rPr>
        <w:tab/>
      </w:r>
      <w:r w:rsidR="00BD4F91">
        <w:rPr>
          <w:rFonts w:ascii="Book Antiqua" w:hAnsi="Book Antiqua" w:cs="Arial"/>
          <w:color w:val="000000"/>
          <w:sz w:val="20"/>
          <w:szCs w:val="20"/>
          <w:lang w:bidi="si-LK"/>
        </w:rPr>
        <w:tab/>
      </w:r>
      <w:r w:rsidR="00BD4F91">
        <w:rPr>
          <w:rFonts w:ascii="Book Antiqua" w:hAnsi="Book Antiqua" w:cs="Arial"/>
          <w:color w:val="000000"/>
          <w:sz w:val="20"/>
          <w:szCs w:val="20"/>
          <w:lang w:bidi="si-LK"/>
        </w:rPr>
        <w:tab/>
      </w:r>
      <w:r w:rsidR="00BD4F91">
        <w:rPr>
          <w:rFonts w:ascii="Book Antiqua" w:hAnsi="Book Antiqua" w:cs="Arial"/>
          <w:color w:val="000000"/>
          <w:sz w:val="20"/>
          <w:szCs w:val="20"/>
          <w:lang w:bidi="si-LK"/>
        </w:rPr>
        <w:tab/>
      </w:r>
      <w:r w:rsidR="00BD4F91">
        <w:rPr>
          <w:rFonts w:ascii="Book Antiqua" w:hAnsi="Book Antiqua" w:cs="Arial"/>
          <w:color w:val="000000"/>
          <w:sz w:val="20"/>
          <w:szCs w:val="20"/>
          <w:lang w:bidi="si-LK"/>
        </w:rPr>
        <w:tab/>
        <w:t xml:space="preserve">                                   </w:t>
      </w:r>
      <w:r>
        <w:rPr>
          <w:rFonts w:ascii="Book Antiqua" w:hAnsi="Book Antiqua" w:cs="Arial"/>
          <w:color w:val="000000"/>
          <w:sz w:val="20"/>
          <w:szCs w:val="20"/>
          <w:lang w:bidi="si-LK"/>
        </w:rPr>
        <w:t xml:space="preserve"> </w:t>
      </w:r>
      <w:r w:rsidRPr="000F3498">
        <w:rPr>
          <w:rFonts w:ascii="Book Antiqua" w:hAnsi="Book Antiqua" w:cs="Arial"/>
          <w:color w:val="000000"/>
          <w:sz w:val="20"/>
          <w:szCs w:val="20"/>
          <w:lang w:bidi="si-LK"/>
        </w:rPr>
        <w:t>Sources: Sri Lanka Customs</w:t>
      </w:r>
    </w:p>
    <w:p w:rsidR="00B508BF" w:rsidRDefault="00B508BF" w:rsidP="00BD4F91">
      <w:pPr>
        <w:ind w:left="-426" w:right="-874"/>
        <w:jc w:val="right"/>
        <w:rPr>
          <w:rFonts w:ascii="Book Antiqua" w:hAnsi="Book Antiqua" w:cs="Arial"/>
          <w:color w:val="000000"/>
          <w:sz w:val="20"/>
          <w:szCs w:val="20"/>
          <w:lang w:bidi="si-LK"/>
        </w:rPr>
      </w:pPr>
      <w:r>
        <w:rPr>
          <w:rFonts w:ascii="Book Antiqua" w:hAnsi="Book Antiqua" w:cs="Arial"/>
          <w:color w:val="000000"/>
          <w:sz w:val="20"/>
          <w:szCs w:val="20"/>
          <w:lang w:bidi="si-LK"/>
        </w:rPr>
        <w:t xml:space="preserve">           </w:t>
      </w:r>
      <w:r w:rsidR="00BD4F91">
        <w:rPr>
          <w:rFonts w:ascii="Book Antiqua" w:hAnsi="Book Antiqua" w:cs="Arial"/>
          <w:color w:val="000000"/>
          <w:sz w:val="20"/>
          <w:szCs w:val="20"/>
          <w:lang w:bidi="si-LK"/>
        </w:rPr>
        <w:t xml:space="preserve">  </w:t>
      </w:r>
      <w:r w:rsidR="00BD4F91">
        <w:rPr>
          <w:rFonts w:ascii="Book Antiqua" w:hAnsi="Book Antiqua" w:cs="Arial"/>
          <w:color w:val="000000"/>
          <w:sz w:val="20"/>
          <w:szCs w:val="20"/>
          <w:lang w:bidi="si-LK"/>
        </w:rPr>
        <w:tab/>
      </w:r>
      <w:r w:rsidR="00BD4F91">
        <w:rPr>
          <w:rFonts w:ascii="Book Antiqua" w:hAnsi="Book Antiqua" w:cs="Arial"/>
          <w:color w:val="000000"/>
          <w:sz w:val="20"/>
          <w:szCs w:val="20"/>
          <w:lang w:bidi="si-LK"/>
        </w:rPr>
        <w:tab/>
        <w:t xml:space="preserve">   </w:t>
      </w:r>
      <w:r w:rsidRPr="000F3498">
        <w:rPr>
          <w:rFonts w:ascii="Book Antiqua" w:hAnsi="Book Antiqua" w:cs="Arial"/>
          <w:color w:val="000000"/>
          <w:sz w:val="20"/>
          <w:szCs w:val="20"/>
          <w:lang w:bidi="si-LK"/>
        </w:rPr>
        <w:t>Central Bank of Sri Lanka</w:t>
      </w:r>
    </w:p>
    <w:p w:rsidR="00B508BF" w:rsidRPr="000F3498" w:rsidRDefault="00B508BF" w:rsidP="00B508BF">
      <w:pPr>
        <w:rPr>
          <w:rFonts w:ascii="Book Antiqua" w:hAnsi="Book Antiqua" w:cs="Arial"/>
          <w:color w:val="000000"/>
          <w:sz w:val="20"/>
          <w:szCs w:val="20"/>
          <w:lang w:bidi="si-LK"/>
        </w:rPr>
      </w:pPr>
    </w:p>
    <w:p w:rsidR="00B508BF" w:rsidRDefault="00B508BF" w:rsidP="00B508BF">
      <w:pPr>
        <w:ind w:left="-426"/>
        <w:jc w:val="right"/>
        <w:rPr>
          <w:rFonts w:ascii="Book Antiqua" w:hAnsi="Book Antiqua" w:cs="Arial"/>
          <w:color w:val="000000"/>
          <w:sz w:val="20"/>
          <w:szCs w:val="20"/>
          <w:lang w:bidi="si-LK"/>
        </w:rPr>
      </w:pPr>
      <w:r w:rsidRPr="000F3498">
        <w:rPr>
          <w:rFonts w:ascii="Book Antiqua" w:hAnsi="Book Antiqua" w:cs="Arial"/>
          <w:color w:val="000000"/>
          <w:sz w:val="20"/>
          <w:szCs w:val="20"/>
          <w:lang w:bidi="si-LK"/>
        </w:rPr>
        <w:tab/>
      </w:r>
      <w:r w:rsidRPr="000F3498">
        <w:rPr>
          <w:rFonts w:ascii="Book Antiqua" w:hAnsi="Book Antiqua" w:cs="Arial"/>
          <w:color w:val="000000"/>
          <w:sz w:val="20"/>
          <w:szCs w:val="20"/>
          <w:lang w:bidi="si-LK"/>
        </w:rPr>
        <w:tab/>
      </w:r>
      <w:r w:rsidRPr="000F3498">
        <w:rPr>
          <w:rFonts w:ascii="Book Antiqua" w:hAnsi="Book Antiqua" w:cs="Arial"/>
          <w:color w:val="000000"/>
          <w:sz w:val="20"/>
          <w:szCs w:val="20"/>
          <w:lang w:bidi="si-LK"/>
        </w:rPr>
        <w:tab/>
      </w:r>
      <w:r w:rsidRPr="000F3498">
        <w:rPr>
          <w:rFonts w:ascii="Book Antiqua" w:hAnsi="Book Antiqua" w:cs="Arial"/>
          <w:color w:val="000000"/>
          <w:sz w:val="20"/>
          <w:szCs w:val="20"/>
          <w:lang w:bidi="si-LK"/>
        </w:rPr>
        <w:tab/>
      </w:r>
      <w:r>
        <w:rPr>
          <w:rFonts w:ascii="Book Antiqua" w:hAnsi="Book Antiqua" w:cs="Arial"/>
          <w:color w:val="000000"/>
          <w:sz w:val="20"/>
          <w:szCs w:val="20"/>
          <w:lang w:bidi="si-LK"/>
        </w:rPr>
        <w:t xml:space="preserve">          </w:t>
      </w:r>
      <w:r>
        <w:rPr>
          <w:rFonts w:ascii="Book Antiqua" w:hAnsi="Book Antiqua" w:cs="Arial"/>
          <w:color w:val="000000"/>
          <w:sz w:val="20"/>
          <w:szCs w:val="20"/>
          <w:lang w:bidi="si-LK"/>
        </w:rPr>
        <w:tab/>
      </w:r>
      <w:r>
        <w:rPr>
          <w:rFonts w:ascii="Book Antiqua" w:hAnsi="Book Antiqua" w:cs="Arial"/>
          <w:color w:val="000000"/>
          <w:sz w:val="20"/>
          <w:szCs w:val="20"/>
          <w:lang w:bidi="si-LK"/>
        </w:rPr>
        <w:tab/>
        <w:t xml:space="preserve"> </w:t>
      </w:r>
    </w:p>
    <w:p w:rsidR="00B508BF" w:rsidRPr="000F10FF" w:rsidRDefault="00B508BF" w:rsidP="00B508BF">
      <w:pPr>
        <w:ind w:left="-426"/>
        <w:rPr>
          <w:rFonts w:ascii="Book Antiqua" w:hAnsi="Book Antiqua" w:cs="Arial"/>
          <w:color w:val="000000"/>
          <w:sz w:val="20"/>
          <w:szCs w:val="20"/>
          <w:lang w:bidi="si-LK"/>
        </w:rPr>
      </w:pPr>
      <w:r>
        <w:rPr>
          <w:rFonts w:ascii="Book Antiqua" w:hAnsi="Book Antiqua" w:cs="Arial"/>
          <w:color w:val="000000"/>
          <w:sz w:val="20"/>
          <w:szCs w:val="20"/>
          <w:lang w:bidi="si-LK"/>
        </w:rPr>
        <w:t xml:space="preserve">     </w:t>
      </w:r>
      <w:r w:rsidRPr="000F10FF">
        <w:rPr>
          <w:rFonts w:ascii="Book Antiqua" w:hAnsi="Book Antiqua" w:cs="Arial"/>
          <w:color w:val="000000"/>
          <w:sz w:val="20"/>
          <w:szCs w:val="20"/>
          <w:lang w:bidi="si-LK"/>
        </w:rPr>
        <w:t>(a) Provisional</w:t>
      </w:r>
    </w:p>
    <w:p w:rsidR="00B508BF" w:rsidRPr="000F10FF" w:rsidRDefault="00B508BF" w:rsidP="00B508BF">
      <w:pPr>
        <w:ind w:left="-426"/>
        <w:rPr>
          <w:rFonts w:ascii="Book Antiqua" w:hAnsi="Book Antiqua" w:cs="Arial"/>
          <w:color w:val="000000"/>
          <w:sz w:val="20"/>
          <w:szCs w:val="20"/>
          <w:lang w:bidi="si-LK"/>
        </w:rPr>
      </w:pPr>
      <w:r w:rsidRPr="000F10FF">
        <w:rPr>
          <w:rFonts w:ascii="Book Antiqua" w:hAnsi="Book Antiqua" w:cs="Arial"/>
          <w:color w:val="000000"/>
          <w:sz w:val="20"/>
          <w:szCs w:val="20"/>
          <w:lang w:bidi="si-LK"/>
        </w:rPr>
        <w:t xml:space="preserve">     (b) Revised</w:t>
      </w:r>
    </w:p>
    <w:p w:rsidR="00B508BF" w:rsidRPr="000F10FF" w:rsidRDefault="00B508BF" w:rsidP="00B508BF">
      <w:pPr>
        <w:ind w:left="-426"/>
        <w:rPr>
          <w:rFonts w:ascii="Book Antiqua" w:hAnsi="Book Antiqua" w:cs="Arial"/>
          <w:color w:val="000000"/>
          <w:sz w:val="20"/>
          <w:szCs w:val="20"/>
          <w:lang w:bidi="si-LK"/>
        </w:rPr>
      </w:pPr>
      <w:r w:rsidRPr="000F10FF">
        <w:rPr>
          <w:rFonts w:ascii="Book Antiqua" w:hAnsi="Book Antiqua" w:cs="Arial"/>
          <w:color w:val="000000"/>
          <w:sz w:val="20"/>
          <w:szCs w:val="20"/>
          <w:lang w:bidi="si-LK"/>
        </w:rPr>
        <w:t xml:space="preserve">     (c) Data available for the first half of each period.</w:t>
      </w:r>
    </w:p>
    <w:p w:rsidR="00B508BF" w:rsidRPr="000F10FF" w:rsidRDefault="00B508BF" w:rsidP="00B508BF">
      <w:pPr>
        <w:ind w:left="-426"/>
        <w:rPr>
          <w:rFonts w:ascii="Book Antiqua" w:hAnsi="Book Antiqua" w:cs="Arial"/>
          <w:color w:val="000000"/>
          <w:sz w:val="20"/>
          <w:szCs w:val="20"/>
          <w:lang w:bidi="si-LK"/>
        </w:rPr>
      </w:pPr>
      <w:r w:rsidRPr="000F10FF">
        <w:rPr>
          <w:rFonts w:ascii="Book Antiqua" w:hAnsi="Book Antiqua" w:cs="Arial"/>
          <w:color w:val="000000"/>
          <w:sz w:val="20"/>
          <w:szCs w:val="20"/>
          <w:lang w:bidi="si-LK"/>
        </w:rPr>
        <w:t xml:space="preserve">     (d) Inflows to the government include capital and current transfers to the government, inflows from the    </w:t>
      </w:r>
    </w:p>
    <w:p w:rsidR="00B508BF" w:rsidRPr="000F10FF" w:rsidRDefault="00B508BF" w:rsidP="00B508BF">
      <w:pPr>
        <w:ind w:left="-426"/>
        <w:rPr>
          <w:rFonts w:ascii="Book Antiqua" w:hAnsi="Book Antiqua" w:cs="Arial"/>
          <w:color w:val="000000"/>
          <w:sz w:val="20"/>
          <w:szCs w:val="20"/>
          <w:lang w:bidi="si-LK"/>
        </w:rPr>
      </w:pPr>
      <w:r w:rsidRPr="000F10FF">
        <w:rPr>
          <w:rFonts w:ascii="Book Antiqua" w:hAnsi="Book Antiqua" w:cs="Arial"/>
          <w:color w:val="000000"/>
          <w:sz w:val="20"/>
          <w:szCs w:val="20"/>
          <w:lang w:bidi="si-LK"/>
        </w:rPr>
        <w:t xml:space="preserve">           sale of Treasury bills and Treasury bonds, International Sovereign Bonds and long-term loans of the </w:t>
      </w:r>
    </w:p>
    <w:p w:rsidR="00B508BF" w:rsidRPr="000F10FF" w:rsidRDefault="00B508BF" w:rsidP="00B508BF">
      <w:pPr>
        <w:ind w:left="-426"/>
        <w:rPr>
          <w:rFonts w:ascii="Book Antiqua" w:hAnsi="Book Antiqua" w:cs="Arial"/>
          <w:color w:val="000000"/>
          <w:sz w:val="20"/>
          <w:szCs w:val="20"/>
          <w:lang w:bidi="si-LK"/>
        </w:rPr>
      </w:pPr>
      <w:r w:rsidRPr="000F10FF">
        <w:rPr>
          <w:rFonts w:ascii="Book Antiqua" w:hAnsi="Book Antiqua" w:cs="Arial"/>
          <w:color w:val="000000"/>
          <w:sz w:val="20"/>
          <w:szCs w:val="20"/>
          <w:lang w:bidi="si-LK"/>
        </w:rPr>
        <w:t xml:space="preserve">           government.</w:t>
      </w:r>
    </w:p>
    <w:p w:rsidR="00B508BF" w:rsidRPr="00477120" w:rsidRDefault="00B508BF" w:rsidP="00B508BF">
      <w:pPr>
        <w:ind w:left="-426"/>
        <w:rPr>
          <w:rFonts w:ascii="Book Antiqua" w:hAnsi="Book Antiqua" w:cs="Arial"/>
          <w:color w:val="000000"/>
          <w:sz w:val="20"/>
          <w:szCs w:val="20"/>
          <w:lang w:bidi="si-LK"/>
        </w:rPr>
      </w:pPr>
    </w:p>
    <w:p w:rsidR="00B508BF" w:rsidRDefault="00B508BF" w:rsidP="00B508BF">
      <w:pPr>
        <w:rPr>
          <w:lang w:bidi="si-LK"/>
        </w:rPr>
      </w:pPr>
    </w:p>
    <w:p w:rsidR="00DD3568" w:rsidRDefault="00DD3568" w:rsidP="00B508BF">
      <w:pPr>
        <w:pStyle w:val="Default"/>
        <w:spacing w:after="120" w:line="360" w:lineRule="auto"/>
        <w:jc w:val="both"/>
      </w:pPr>
    </w:p>
    <w:sectPr w:rsidR="00DD3568" w:rsidSect="00EF60CC">
      <w:footerReference w:type="default" r:id="rId14"/>
      <w:pgSz w:w="11906" w:h="16838" w:code="9"/>
      <w:pgMar w:top="720" w:right="1440" w:bottom="1260" w:left="1440" w:header="706" w:footer="706" w:gutter="0"/>
      <w:pgBorders w:offsetFrom="page">
        <w:top w:val="none" w:sz="0" w:space="3" w:color="6D6200" w:shadow="1" w:frame="1"/>
        <w:left w:val="none" w:sz="0" w:space="14" w:color="670000" w:shadow="1"/>
        <w:bottom w:val="none" w:sz="0" w:space="13" w:color="436300" w:shadow="1"/>
        <w:right w:val="none" w:sz="21" w:space="19" w:color="00009C"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BA0" w:rsidRDefault="00AA7BA0" w:rsidP="003D7D9C">
      <w:r>
        <w:separator/>
      </w:r>
    </w:p>
  </w:endnote>
  <w:endnote w:type="continuationSeparator" w:id="0">
    <w:p w:rsidR="00AA7BA0" w:rsidRDefault="00AA7BA0" w:rsidP="003D7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Latha">
    <w:panose1 w:val="020B0604020202020204"/>
    <w:charset w:val="01"/>
    <w:family w:val="roman"/>
    <w:notTrueType/>
    <w:pitch w:val="variable"/>
    <w:sig w:usb0="00040000" w:usb1="00000000" w:usb2="00000000" w:usb3="00000000" w:csb0="00000000"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8A" w:rsidRDefault="00EA2590">
    <w:pPr>
      <w:pStyle w:val="Footer"/>
      <w:jc w:val="center"/>
    </w:pPr>
    <w:fldSimple w:instr=" PAGE   \* MERGEFORMAT ">
      <w:r w:rsidR="00AA7BA0">
        <w:rPr>
          <w:noProof/>
        </w:rPr>
        <w:t>1</w:t>
      </w:r>
    </w:fldSimple>
  </w:p>
  <w:p w:rsidR="00CB1F8A" w:rsidRDefault="00CB1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BA0" w:rsidRDefault="00AA7BA0" w:rsidP="003D7D9C">
      <w:r>
        <w:separator/>
      </w:r>
    </w:p>
  </w:footnote>
  <w:footnote w:type="continuationSeparator" w:id="0">
    <w:p w:rsidR="00AA7BA0" w:rsidRDefault="00AA7BA0" w:rsidP="003D7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31"/>
      <w:numFmt w:val="decimal"/>
      <w:lvlText w:val="%1."/>
      <w:lvlJc w:val="left"/>
      <w:pPr>
        <w:tabs>
          <w:tab w:val="num" w:pos="-180"/>
        </w:tabs>
        <w:ind w:left="900" w:hanging="360"/>
      </w:pPr>
      <w:rPr>
        <w:rFonts w:cs="Times New Roman"/>
        <w:b/>
        <w:bCs/>
        <w:color w:val="00000A"/>
        <w:sz w:val="24"/>
        <w:szCs w:val="24"/>
      </w:rPr>
    </w:lvl>
    <w:lvl w:ilvl="1">
      <w:start w:val="1"/>
      <w:numFmt w:val="decimal"/>
      <w:lvlText w:val="%1.%2"/>
      <w:lvlJc w:val="left"/>
      <w:pPr>
        <w:tabs>
          <w:tab w:val="num" w:pos="0"/>
        </w:tabs>
        <w:ind w:left="1320" w:hanging="60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nsid w:val="0C13713C"/>
    <w:multiLevelType w:val="hybridMultilevel"/>
    <w:tmpl w:val="425AE20E"/>
    <w:lvl w:ilvl="0" w:tplc="7C705364">
      <w:start w:val="1"/>
      <w:numFmt w:val="low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
    <w:nsid w:val="2C894AB0"/>
    <w:multiLevelType w:val="hybridMultilevel"/>
    <w:tmpl w:val="4F947076"/>
    <w:lvl w:ilvl="0" w:tplc="C778EC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43934"/>
    <w:multiLevelType w:val="hybridMultilevel"/>
    <w:tmpl w:val="1062C5C6"/>
    <w:lvl w:ilvl="0" w:tplc="5CA0E192">
      <w:start w:val="14"/>
      <w:numFmt w:val="decimal"/>
      <w:lvlText w:val="%1."/>
      <w:lvlJc w:val="left"/>
      <w:pPr>
        <w:ind w:left="360" w:hanging="360"/>
      </w:pPr>
      <w:rPr>
        <w:rFonts w:ascii="Times New Roman" w:hAnsi="Times New Roman" w:cs="Times New Roman"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B2950B9"/>
    <w:multiLevelType w:val="hybridMultilevel"/>
    <w:tmpl w:val="CF324D7A"/>
    <w:lvl w:ilvl="0" w:tplc="7C705364">
      <w:start w:val="1"/>
      <w:numFmt w:val="low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savePreviewPicture/>
  <w:footnotePr>
    <w:footnote w:id="-1"/>
    <w:footnote w:id="0"/>
  </w:footnotePr>
  <w:endnotePr>
    <w:endnote w:id="-1"/>
    <w:endnote w:id="0"/>
  </w:endnotePr>
  <w:compat/>
  <w:rsids>
    <w:rsidRoot w:val="00296047"/>
    <w:rsid w:val="00000860"/>
    <w:rsid w:val="00002E54"/>
    <w:rsid w:val="00003A61"/>
    <w:rsid w:val="000048FE"/>
    <w:rsid w:val="00004E23"/>
    <w:rsid w:val="00005130"/>
    <w:rsid w:val="00005B10"/>
    <w:rsid w:val="00005E96"/>
    <w:rsid w:val="00006230"/>
    <w:rsid w:val="00006420"/>
    <w:rsid w:val="000109B7"/>
    <w:rsid w:val="00011051"/>
    <w:rsid w:val="00011791"/>
    <w:rsid w:val="00012019"/>
    <w:rsid w:val="0001214B"/>
    <w:rsid w:val="0001454A"/>
    <w:rsid w:val="000201AD"/>
    <w:rsid w:val="00021282"/>
    <w:rsid w:val="000218AD"/>
    <w:rsid w:val="00021DC6"/>
    <w:rsid w:val="000220E3"/>
    <w:rsid w:val="000223EE"/>
    <w:rsid w:val="00022B6F"/>
    <w:rsid w:val="00022EE8"/>
    <w:rsid w:val="00024CC8"/>
    <w:rsid w:val="00024E44"/>
    <w:rsid w:val="00025CFD"/>
    <w:rsid w:val="00026776"/>
    <w:rsid w:val="00027D11"/>
    <w:rsid w:val="00027F55"/>
    <w:rsid w:val="00030922"/>
    <w:rsid w:val="00031042"/>
    <w:rsid w:val="00031D17"/>
    <w:rsid w:val="00032F4F"/>
    <w:rsid w:val="00034534"/>
    <w:rsid w:val="00034E4C"/>
    <w:rsid w:val="00036F33"/>
    <w:rsid w:val="0003702C"/>
    <w:rsid w:val="00037BD3"/>
    <w:rsid w:val="00040463"/>
    <w:rsid w:val="00040AB2"/>
    <w:rsid w:val="00041FDD"/>
    <w:rsid w:val="0004218D"/>
    <w:rsid w:val="00042A87"/>
    <w:rsid w:val="0004325A"/>
    <w:rsid w:val="000432A3"/>
    <w:rsid w:val="000453F4"/>
    <w:rsid w:val="000456A6"/>
    <w:rsid w:val="00045C08"/>
    <w:rsid w:val="00045C9D"/>
    <w:rsid w:val="00045CF3"/>
    <w:rsid w:val="000517F9"/>
    <w:rsid w:val="00051C8A"/>
    <w:rsid w:val="00052D54"/>
    <w:rsid w:val="00053393"/>
    <w:rsid w:val="000543FD"/>
    <w:rsid w:val="00055699"/>
    <w:rsid w:val="0005572F"/>
    <w:rsid w:val="00055AC9"/>
    <w:rsid w:val="00056CF6"/>
    <w:rsid w:val="00057524"/>
    <w:rsid w:val="00060D78"/>
    <w:rsid w:val="00062495"/>
    <w:rsid w:val="00063EA3"/>
    <w:rsid w:val="0006736A"/>
    <w:rsid w:val="00070657"/>
    <w:rsid w:val="00071AED"/>
    <w:rsid w:val="000758BC"/>
    <w:rsid w:val="00076361"/>
    <w:rsid w:val="0007777E"/>
    <w:rsid w:val="00077E7F"/>
    <w:rsid w:val="00080AF6"/>
    <w:rsid w:val="00080BB4"/>
    <w:rsid w:val="00081E33"/>
    <w:rsid w:val="000824B5"/>
    <w:rsid w:val="00083104"/>
    <w:rsid w:val="000835FA"/>
    <w:rsid w:val="00083A91"/>
    <w:rsid w:val="00084D39"/>
    <w:rsid w:val="00085D2B"/>
    <w:rsid w:val="00087527"/>
    <w:rsid w:val="0008768C"/>
    <w:rsid w:val="00091437"/>
    <w:rsid w:val="00092395"/>
    <w:rsid w:val="00092B03"/>
    <w:rsid w:val="00092E2A"/>
    <w:rsid w:val="00094FAA"/>
    <w:rsid w:val="0009719F"/>
    <w:rsid w:val="00097A21"/>
    <w:rsid w:val="00097D03"/>
    <w:rsid w:val="000A0C78"/>
    <w:rsid w:val="000A0D75"/>
    <w:rsid w:val="000A0F9A"/>
    <w:rsid w:val="000A1BEC"/>
    <w:rsid w:val="000A25F0"/>
    <w:rsid w:val="000A5427"/>
    <w:rsid w:val="000A577B"/>
    <w:rsid w:val="000A5853"/>
    <w:rsid w:val="000A672F"/>
    <w:rsid w:val="000A6C5D"/>
    <w:rsid w:val="000A7551"/>
    <w:rsid w:val="000B0AB5"/>
    <w:rsid w:val="000B0B45"/>
    <w:rsid w:val="000B1011"/>
    <w:rsid w:val="000B1AA2"/>
    <w:rsid w:val="000B1AA8"/>
    <w:rsid w:val="000B2F6E"/>
    <w:rsid w:val="000B3667"/>
    <w:rsid w:val="000B420A"/>
    <w:rsid w:val="000B46DF"/>
    <w:rsid w:val="000B4893"/>
    <w:rsid w:val="000B5554"/>
    <w:rsid w:val="000B5B44"/>
    <w:rsid w:val="000B73E7"/>
    <w:rsid w:val="000B7721"/>
    <w:rsid w:val="000C085F"/>
    <w:rsid w:val="000C0ECF"/>
    <w:rsid w:val="000C1036"/>
    <w:rsid w:val="000C164C"/>
    <w:rsid w:val="000C16E1"/>
    <w:rsid w:val="000C2101"/>
    <w:rsid w:val="000C3699"/>
    <w:rsid w:val="000C615A"/>
    <w:rsid w:val="000C64B1"/>
    <w:rsid w:val="000C7657"/>
    <w:rsid w:val="000C7B62"/>
    <w:rsid w:val="000D0123"/>
    <w:rsid w:val="000D0902"/>
    <w:rsid w:val="000D0D09"/>
    <w:rsid w:val="000D25EB"/>
    <w:rsid w:val="000D2773"/>
    <w:rsid w:val="000D30A4"/>
    <w:rsid w:val="000D3196"/>
    <w:rsid w:val="000D385B"/>
    <w:rsid w:val="000D392A"/>
    <w:rsid w:val="000D55D3"/>
    <w:rsid w:val="000D57A9"/>
    <w:rsid w:val="000D65AB"/>
    <w:rsid w:val="000D74AB"/>
    <w:rsid w:val="000D7A64"/>
    <w:rsid w:val="000E0ED2"/>
    <w:rsid w:val="000E2E39"/>
    <w:rsid w:val="000E3000"/>
    <w:rsid w:val="000E4D66"/>
    <w:rsid w:val="000E5FDB"/>
    <w:rsid w:val="000E64F6"/>
    <w:rsid w:val="000F0FA0"/>
    <w:rsid w:val="000F10FF"/>
    <w:rsid w:val="000F153E"/>
    <w:rsid w:val="000F3498"/>
    <w:rsid w:val="000F3EAC"/>
    <w:rsid w:val="000F5368"/>
    <w:rsid w:val="000F6C54"/>
    <w:rsid w:val="000F734C"/>
    <w:rsid w:val="000F7613"/>
    <w:rsid w:val="001016DB"/>
    <w:rsid w:val="00101A80"/>
    <w:rsid w:val="00101FC5"/>
    <w:rsid w:val="001025B2"/>
    <w:rsid w:val="00103B06"/>
    <w:rsid w:val="00104995"/>
    <w:rsid w:val="001058EA"/>
    <w:rsid w:val="00107261"/>
    <w:rsid w:val="00112E27"/>
    <w:rsid w:val="00113BB1"/>
    <w:rsid w:val="0011508E"/>
    <w:rsid w:val="0011611C"/>
    <w:rsid w:val="0011779C"/>
    <w:rsid w:val="001205AE"/>
    <w:rsid w:val="001227BA"/>
    <w:rsid w:val="0012300D"/>
    <w:rsid w:val="00123164"/>
    <w:rsid w:val="00123DA0"/>
    <w:rsid w:val="00125703"/>
    <w:rsid w:val="001257A6"/>
    <w:rsid w:val="00125C60"/>
    <w:rsid w:val="00126F14"/>
    <w:rsid w:val="00127E50"/>
    <w:rsid w:val="0013069F"/>
    <w:rsid w:val="00130FA5"/>
    <w:rsid w:val="0013101E"/>
    <w:rsid w:val="0013127B"/>
    <w:rsid w:val="00132284"/>
    <w:rsid w:val="001325B5"/>
    <w:rsid w:val="00132824"/>
    <w:rsid w:val="0013290C"/>
    <w:rsid w:val="00132A25"/>
    <w:rsid w:val="00135374"/>
    <w:rsid w:val="00136222"/>
    <w:rsid w:val="00136B4F"/>
    <w:rsid w:val="00136EB4"/>
    <w:rsid w:val="001372A4"/>
    <w:rsid w:val="00137E84"/>
    <w:rsid w:val="00140525"/>
    <w:rsid w:val="0014124A"/>
    <w:rsid w:val="001423A3"/>
    <w:rsid w:val="0014259C"/>
    <w:rsid w:val="00146D8B"/>
    <w:rsid w:val="00151221"/>
    <w:rsid w:val="001515FF"/>
    <w:rsid w:val="00152E2A"/>
    <w:rsid w:val="00152EE3"/>
    <w:rsid w:val="00153479"/>
    <w:rsid w:val="00154A2D"/>
    <w:rsid w:val="00155342"/>
    <w:rsid w:val="00155DC3"/>
    <w:rsid w:val="00156924"/>
    <w:rsid w:val="00161C41"/>
    <w:rsid w:val="001627A1"/>
    <w:rsid w:val="0016281D"/>
    <w:rsid w:val="00162A3B"/>
    <w:rsid w:val="00162DAA"/>
    <w:rsid w:val="00163C65"/>
    <w:rsid w:val="00163C7B"/>
    <w:rsid w:val="00163E83"/>
    <w:rsid w:val="00163F56"/>
    <w:rsid w:val="00164430"/>
    <w:rsid w:val="00166472"/>
    <w:rsid w:val="00166D04"/>
    <w:rsid w:val="00167B42"/>
    <w:rsid w:val="00170598"/>
    <w:rsid w:val="00171857"/>
    <w:rsid w:val="00171C0D"/>
    <w:rsid w:val="00171C4B"/>
    <w:rsid w:val="0017204D"/>
    <w:rsid w:val="001724F1"/>
    <w:rsid w:val="0017321A"/>
    <w:rsid w:val="00173334"/>
    <w:rsid w:val="00174823"/>
    <w:rsid w:val="00174EB3"/>
    <w:rsid w:val="00175D98"/>
    <w:rsid w:val="00176896"/>
    <w:rsid w:val="00176E20"/>
    <w:rsid w:val="001776B2"/>
    <w:rsid w:val="00177E44"/>
    <w:rsid w:val="001809A5"/>
    <w:rsid w:val="00183142"/>
    <w:rsid w:val="00183779"/>
    <w:rsid w:val="0018480D"/>
    <w:rsid w:val="00184E5F"/>
    <w:rsid w:val="00186AB1"/>
    <w:rsid w:val="00187D59"/>
    <w:rsid w:val="001906F4"/>
    <w:rsid w:val="0019216F"/>
    <w:rsid w:val="001928E5"/>
    <w:rsid w:val="00192F5C"/>
    <w:rsid w:val="00195CCC"/>
    <w:rsid w:val="00196EB1"/>
    <w:rsid w:val="001A0F4F"/>
    <w:rsid w:val="001A3035"/>
    <w:rsid w:val="001A52AE"/>
    <w:rsid w:val="001A5609"/>
    <w:rsid w:val="001A6E24"/>
    <w:rsid w:val="001A6F8D"/>
    <w:rsid w:val="001A7470"/>
    <w:rsid w:val="001A7F0C"/>
    <w:rsid w:val="001B161C"/>
    <w:rsid w:val="001B1BD0"/>
    <w:rsid w:val="001B1CC4"/>
    <w:rsid w:val="001B1D75"/>
    <w:rsid w:val="001B1F4C"/>
    <w:rsid w:val="001B24B0"/>
    <w:rsid w:val="001B2D7F"/>
    <w:rsid w:val="001B2F07"/>
    <w:rsid w:val="001B3CF8"/>
    <w:rsid w:val="001B44C8"/>
    <w:rsid w:val="001B45A1"/>
    <w:rsid w:val="001B4E13"/>
    <w:rsid w:val="001B5D5B"/>
    <w:rsid w:val="001B6B72"/>
    <w:rsid w:val="001B7636"/>
    <w:rsid w:val="001C048C"/>
    <w:rsid w:val="001C083C"/>
    <w:rsid w:val="001C1EE8"/>
    <w:rsid w:val="001C2922"/>
    <w:rsid w:val="001C3788"/>
    <w:rsid w:val="001C38BC"/>
    <w:rsid w:val="001C44BD"/>
    <w:rsid w:val="001C4CAD"/>
    <w:rsid w:val="001C711A"/>
    <w:rsid w:val="001C713A"/>
    <w:rsid w:val="001D04B0"/>
    <w:rsid w:val="001D11B6"/>
    <w:rsid w:val="001D19CD"/>
    <w:rsid w:val="001D1ACE"/>
    <w:rsid w:val="001D1B82"/>
    <w:rsid w:val="001D3CB5"/>
    <w:rsid w:val="001D4A4E"/>
    <w:rsid w:val="001D4E12"/>
    <w:rsid w:val="001D53B4"/>
    <w:rsid w:val="001D691E"/>
    <w:rsid w:val="001D6D1E"/>
    <w:rsid w:val="001D6E84"/>
    <w:rsid w:val="001D6ED3"/>
    <w:rsid w:val="001D79E8"/>
    <w:rsid w:val="001D79FB"/>
    <w:rsid w:val="001D7F59"/>
    <w:rsid w:val="001E12DD"/>
    <w:rsid w:val="001E1890"/>
    <w:rsid w:val="001F1325"/>
    <w:rsid w:val="001F2AB0"/>
    <w:rsid w:val="001F32F8"/>
    <w:rsid w:val="001F49ED"/>
    <w:rsid w:val="001F6333"/>
    <w:rsid w:val="00202E61"/>
    <w:rsid w:val="0020328F"/>
    <w:rsid w:val="002032DF"/>
    <w:rsid w:val="00203509"/>
    <w:rsid w:val="00205EC1"/>
    <w:rsid w:val="002061A1"/>
    <w:rsid w:val="002103EE"/>
    <w:rsid w:val="0021356A"/>
    <w:rsid w:val="0021624C"/>
    <w:rsid w:val="00216489"/>
    <w:rsid w:val="00216788"/>
    <w:rsid w:val="00216C4D"/>
    <w:rsid w:val="002170FB"/>
    <w:rsid w:val="00221436"/>
    <w:rsid w:val="00223CFE"/>
    <w:rsid w:val="00224E05"/>
    <w:rsid w:val="002271E5"/>
    <w:rsid w:val="00227457"/>
    <w:rsid w:val="0023264F"/>
    <w:rsid w:val="00234612"/>
    <w:rsid w:val="00235BA1"/>
    <w:rsid w:val="00236B9A"/>
    <w:rsid w:val="00241AF5"/>
    <w:rsid w:val="0024285D"/>
    <w:rsid w:val="00244BD3"/>
    <w:rsid w:val="0024528F"/>
    <w:rsid w:val="00246548"/>
    <w:rsid w:val="00250364"/>
    <w:rsid w:val="00252582"/>
    <w:rsid w:val="002526DE"/>
    <w:rsid w:val="00254A69"/>
    <w:rsid w:val="0025585A"/>
    <w:rsid w:val="00255F07"/>
    <w:rsid w:val="00256633"/>
    <w:rsid w:val="002569B5"/>
    <w:rsid w:val="00257107"/>
    <w:rsid w:val="00257172"/>
    <w:rsid w:val="002571E6"/>
    <w:rsid w:val="0026031F"/>
    <w:rsid w:val="00261104"/>
    <w:rsid w:val="002622D0"/>
    <w:rsid w:val="00263406"/>
    <w:rsid w:val="002648AD"/>
    <w:rsid w:val="00265548"/>
    <w:rsid w:val="0026607E"/>
    <w:rsid w:val="002668BD"/>
    <w:rsid w:val="0026702C"/>
    <w:rsid w:val="002670A6"/>
    <w:rsid w:val="00270164"/>
    <w:rsid w:val="002701E6"/>
    <w:rsid w:val="00270433"/>
    <w:rsid w:val="00270D24"/>
    <w:rsid w:val="00271C0E"/>
    <w:rsid w:val="00272B69"/>
    <w:rsid w:val="00274111"/>
    <w:rsid w:val="002741FC"/>
    <w:rsid w:val="002743A9"/>
    <w:rsid w:val="0027490D"/>
    <w:rsid w:val="002779EE"/>
    <w:rsid w:val="002802CB"/>
    <w:rsid w:val="00280690"/>
    <w:rsid w:val="00281254"/>
    <w:rsid w:val="002816F6"/>
    <w:rsid w:val="00281C81"/>
    <w:rsid w:val="0028234C"/>
    <w:rsid w:val="00282C38"/>
    <w:rsid w:val="00283962"/>
    <w:rsid w:val="00283D91"/>
    <w:rsid w:val="0028517C"/>
    <w:rsid w:val="00285262"/>
    <w:rsid w:val="00285747"/>
    <w:rsid w:val="0028691A"/>
    <w:rsid w:val="00286C96"/>
    <w:rsid w:val="00286F36"/>
    <w:rsid w:val="00287136"/>
    <w:rsid w:val="002901FA"/>
    <w:rsid w:val="002908F9"/>
    <w:rsid w:val="00290E37"/>
    <w:rsid w:val="0029168A"/>
    <w:rsid w:val="0029182A"/>
    <w:rsid w:val="002951CA"/>
    <w:rsid w:val="00296047"/>
    <w:rsid w:val="002970B2"/>
    <w:rsid w:val="00297613"/>
    <w:rsid w:val="00297657"/>
    <w:rsid w:val="002A0168"/>
    <w:rsid w:val="002A06BF"/>
    <w:rsid w:val="002A086B"/>
    <w:rsid w:val="002A241D"/>
    <w:rsid w:val="002A242E"/>
    <w:rsid w:val="002A2B35"/>
    <w:rsid w:val="002A2CF3"/>
    <w:rsid w:val="002A3FD2"/>
    <w:rsid w:val="002A41C5"/>
    <w:rsid w:val="002A54CC"/>
    <w:rsid w:val="002A60F4"/>
    <w:rsid w:val="002B0214"/>
    <w:rsid w:val="002B06C4"/>
    <w:rsid w:val="002B07E8"/>
    <w:rsid w:val="002B1088"/>
    <w:rsid w:val="002B1AF2"/>
    <w:rsid w:val="002B1E15"/>
    <w:rsid w:val="002B26C2"/>
    <w:rsid w:val="002B2A7A"/>
    <w:rsid w:val="002B2B44"/>
    <w:rsid w:val="002B2CDA"/>
    <w:rsid w:val="002B331E"/>
    <w:rsid w:val="002B39F1"/>
    <w:rsid w:val="002B3C4C"/>
    <w:rsid w:val="002B4245"/>
    <w:rsid w:val="002B44DA"/>
    <w:rsid w:val="002B4895"/>
    <w:rsid w:val="002B7444"/>
    <w:rsid w:val="002C0A21"/>
    <w:rsid w:val="002C0DBC"/>
    <w:rsid w:val="002C2E79"/>
    <w:rsid w:val="002C2FCE"/>
    <w:rsid w:val="002C3ACE"/>
    <w:rsid w:val="002C3FCA"/>
    <w:rsid w:val="002C5CBE"/>
    <w:rsid w:val="002C7017"/>
    <w:rsid w:val="002D1AFC"/>
    <w:rsid w:val="002D2D6D"/>
    <w:rsid w:val="002D34E8"/>
    <w:rsid w:val="002D3538"/>
    <w:rsid w:val="002D39D1"/>
    <w:rsid w:val="002D457C"/>
    <w:rsid w:val="002D4F8B"/>
    <w:rsid w:val="002D6494"/>
    <w:rsid w:val="002D6FEC"/>
    <w:rsid w:val="002D7820"/>
    <w:rsid w:val="002E03C5"/>
    <w:rsid w:val="002E09DD"/>
    <w:rsid w:val="002E1217"/>
    <w:rsid w:val="002E1C41"/>
    <w:rsid w:val="002E2D73"/>
    <w:rsid w:val="002E41D4"/>
    <w:rsid w:val="002E43F9"/>
    <w:rsid w:val="002E6299"/>
    <w:rsid w:val="002E6719"/>
    <w:rsid w:val="002E780D"/>
    <w:rsid w:val="002E7E31"/>
    <w:rsid w:val="002F223C"/>
    <w:rsid w:val="002F2504"/>
    <w:rsid w:val="002F2F2B"/>
    <w:rsid w:val="002F3921"/>
    <w:rsid w:val="002F3B96"/>
    <w:rsid w:val="002F79E0"/>
    <w:rsid w:val="0030058F"/>
    <w:rsid w:val="00300BCC"/>
    <w:rsid w:val="00302674"/>
    <w:rsid w:val="003034FE"/>
    <w:rsid w:val="00303BCF"/>
    <w:rsid w:val="003047F4"/>
    <w:rsid w:val="003068C2"/>
    <w:rsid w:val="00307148"/>
    <w:rsid w:val="0030773C"/>
    <w:rsid w:val="00310494"/>
    <w:rsid w:val="003104D7"/>
    <w:rsid w:val="003109A3"/>
    <w:rsid w:val="00310DC4"/>
    <w:rsid w:val="0031143B"/>
    <w:rsid w:val="003145B9"/>
    <w:rsid w:val="0031496B"/>
    <w:rsid w:val="00314DF4"/>
    <w:rsid w:val="00316866"/>
    <w:rsid w:val="00316A4E"/>
    <w:rsid w:val="00316A69"/>
    <w:rsid w:val="00317677"/>
    <w:rsid w:val="003209D0"/>
    <w:rsid w:val="00320A8F"/>
    <w:rsid w:val="00320CE4"/>
    <w:rsid w:val="00320F0F"/>
    <w:rsid w:val="003226F8"/>
    <w:rsid w:val="00323962"/>
    <w:rsid w:val="00325016"/>
    <w:rsid w:val="00325AAF"/>
    <w:rsid w:val="00325E22"/>
    <w:rsid w:val="00326F56"/>
    <w:rsid w:val="00327E66"/>
    <w:rsid w:val="0033000C"/>
    <w:rsid w:val="0033037C"/>
    <w:rsid w:val="00332983"/>
    <w:rsid w:val="0033357E"/>
    <w:rsid w:val="00334AFB"/>
    <w:rsid w:val="003363F3"/>
    <w:rsid w:val="00340044"/>
    <w:rsid w:val="00342A4B"/>
    <w:rsid w:val="003440A6"/>
    <w:rsid w:val="0034459A"/>
    <w:rsid w:val="0034696E"/>
    <w:rsid w:val="0035020D"/>
    <w:rsid w:val="00351842"/>
    <w:rsid w:val="003536CE"/>
    <w:rsid w:val="00353999"/>
    <w:rsid w:val="00354F02"/>
    <w:rsid w:val="003556C1"/>
    <w:rsid w:val="003558BA"/>
    <w:rsid w:val="00355D7F"/>
    <w:rsid w:val="00356439"/>
    <w:rsid w:val="003565D2"/>
    <w:rsid w:val="0035700D"/>
    <w:rsid w:val="00357097"/>
    <w:rsid w:val="00357B57"/>
    <w:rsid w:val="0036070A"/>
    <w:rsid w:val="0036100D"/>
    <w:rsid w:val="00362285"/>
    <w:rsid w:val="00362EB0"/>
    <w:rsid w:val="00363641"/>
    <w:rsid w:val="00363DAD"/>
    <w:rsid w:val="00363FEF"/>
    <w:rsid w:val="0036433D"/>
    <w:rsid w:val="00364BE9"/>
    <w:rsid w:val="00364F0A"/>
    <w:rsid w:val="00366683"/>
    <w:rsid w:val="003671E0"/>
    <w:rsid w:val="00367DDC"/>
    <w:rsid w:val="00370082"/>
    <w:rsid w:val="00370276"/>
    <w:rsid w:val="003703AE"/>
    <w:rsid w:val="00373227"/>
    <w:rsid w:val="00374B31"/>
    <w:rsid w:val="00374BD1"/>
    <w:rsid w:val="003753E8"/>
    <w:rsid w:val="003755A6"/>
    <w:rsid w:val="00375FA1"/>
    <w:rsid w:val="003762C9"/>
    <w:rsid w:val="0038238B"/>
    <w:rsid w:val="00382416"/>
    <w:rsid w:val="0038300E"/>
    <w:rsid w:val="00383530"/>
    <w:rsid w:val="003838FC"/>
    <w:rsid w:val="00383AC3"/>
    <w:rsid w:val="00383F33"/>
    <w:rsid w:val="00386B67"/>
    <w:rsid w:val="003906E1"/>
    <w:rsid w:val="00391820"/>
    <w:rsid w:val="00392652"/>
    <w:rsid w:val="0039320A"/>
    <w:rsid w:val="003942CD"/>
    <w:rsid w:val="00394678"/>
    <w:rsid w:val="00394CE7"/>
    <w:rsid w:val="00394EE8"/>
    <w:rsid w:val="0039507E"/>
    <w:rsid w:val="003952E3"/>
    <w:rsid w:val="00396FC5"/>
    <w:rsid w:val="00397901"/>
    <w:rsid w:val="003A3583"/>
    <w:rsid w:val="003A507D"/>
    <w:rsid w:val="003A7431"/>
    <w:rsid w:val="003A77EC"/>
    <w:rsid w:val="003A77FB"/>
    <w:rsid w:val="003B0BB2"/>
    <w:rsid w:val="003B2BCC"/>
    <w:rsid w:val="003B2DAC"/>
    <w:rsid w:val="003B2DF1"/>
    <w:rsid w:val="003B3743"/>
    <w:rsid w:val="003B4ACD"/>
    <w:rsid w:val="003B50DF"/>
    <w:rsid w:val="003B6399"/>
    <w:rsid w:val="003B6565"/>
    <w:rsid w:val="003C0561"/>
    <w:rsid w:val="003C0F97"/>
    <w:rsid w:val="003C20A8"/>
    <w:rsid w:val="003C2906"/>
    <w:rsid w:val="003C3457"/>
    <w:rsid w:val="003C383C"/>
    <w:rsid w:val="003C4EF6"/>
    <w:rsid w:val="003C56FA"/>
    <w:rsid w:val="003C5D6E"/>
    <w:rsid w:val="003C6768"/>
    <w:rsid w:val="003C6911"/>
    <w:rsid w:val="003C6915"/>
    <w:rsid w:val="003D1253"/>
    <w:rsid w:val="003D3CD3"/>
    <w:rsid w:val="003D48F1"/>
    <w:rsid w:val="003D73EF"/>
    <w:rsid w:val="003D7C47"/>
    <w:rsid w:val="003D7D9C"/>
    <w:rsid w:val="003E07B4"/>
    <w:rsid w:val="003E15E3"/>
    <w:rsid w:val="003E1716"/>
    <w:rsid w:val="003E1728"/>
    <w:rsid w:val="003E2601"/>
    <w:rsid w:val="003E32D3"/>
    <w:rsid w:val="003E4813"/>
    <w:rsid w:val="003E562D"/>
    <w:rsid w:val="003E6078"/>
    <w:rsid w:val="003E6411"/>
    <w:rsid w:val="003E6BA5"/>
    <w:rsid w:val="003E78EB"/>
    <w:rsid w:val="003F011B"/>
    <w:rsid w:val="003F0522"/>
    <w:rsid w:val="003F2971"/>
    <w:rsid w:val="003F2A4A"/>
    <w:rsid w:val="003F38A0"/>
    <w:rsid w:val="003F4749"/>
    <w:rsid w:val="003F4FA3"/>
    <w:rsid w:val="003F5961"/>
    <w:rsid w:val="003F61EF"/>
    <w:rsid w:val="00401E63"/>
    <w:rsid w:val="0040406B"/>
    <w:rsid w:val="00405DD3"/>
    <w:rsid w:val="004063A9"/>
    <w:rsid w:val="00406641"/>
    <w:rsid w:val="00406F40"/>
    <w:rsid w:val="0040722D"/>
    <w:rsid w:val="00407672"/>
    <w:rsid w:val="00407B97"/>
    <w:rsid w:val="0041058F"/>
    <w:rsid w:val="00411D12"/>
    <w:rsid w:val="00414A4F"/>
    <w:rsid w:val="00414D70"/>
    <w:rsid w:val="00415BC9"/>
    <w:rsid w:val="00415C49"/>
    <w:rsid w:val="004161F5"/>
    <w:rsid w:val="00420386"/>
    <w:rsid w:val="004211BD"/>
    <w:rsid w:val="00421246"/>
    <w:rsid w:val="00425196"/>
    <w:rsid w:val="00425FA0"/>
    <w:rsid w:val="0042672F"/>
    <w:rsid w:val="00426F55"/>
    <w:rsid w:val="00431E11"/>
    <w:rsid w:val="00431E63"/>
    <w:rsid w:val="00432EF8"/>
    <w:rsid w:val="00433986"/>
    <w:rsid w:val="00434446"/>
    <w:rsid w:val="0043457C"/>
    <w:rsid w:val="00434582"/>
    <w:rsid w:val="00437268"/>
    <w:rsid w:val="0043770B"/>
    <w:rsid w:val="00437A10"/>
    <w:rsid w:val="004424C8"/>
    <w:rsid w:val="00442D29"/>
    <w:rsid w:val="0044478A"/>
    <w:rsid w:val="004465D5"/>
    <w:rsid w:val="0044755E"/>
    <w:rsid w:val="004502D3"/>
    <w:rsid w:val="0045239D"/>
    <w:rsid w:val="004525BC"/>
    <w:rsid w:val="00453641"/>
    <w:rsid w:val="00453EFD"/>
    <w:rsid w:val="004542E5"/>
    <w:rsid w:val="00455D07"/>
    <w:rsid w:val="00456D28"/>
    <w:rsid w:val="00460415"/>
    <w:rsid w:val="004606FC"/>
    <w:rsid w:val="00460B42"/>
    <w:rsid w:val="00460F2A"/>
    <w:rsid w:val="00461CCC"/>
    <w:rsid w:val="00462750"/>
    <w:rsid w:val="00462AF6"/>
    <w:rsid w:val="004641B2"/>
    <w:rsid w:val="00465271"/>
    <w:rsid w:val="004652E4"/>
    <w:rsid w:val="0046636E"/>
    <w:rsid w:val="004666FD"/>
    <w:rsid w:val="00467102"/>
    <w:rsid w:val="004677A5"/>
    <w:rsid w:val="00470611"/>
    <w:rsid w:val="0047277D"/>
    <w:rsid w:val="004742E1"/>
    <w:rsid w:val="00475262"/>
    <w:rsid w:val="004764BF"/>
    <w:rsid w:val="004768C4"/>
    <w:rsid w:val="00477120"/>
    <w:rsid w:val="00477BB7"/>
    <w:rsid w:val="0048021A"/>
    <w:rsid w:val="0048059D"/>
    <w:rsid w:val="004823EA"/>
    <w:rsid w:val="00482D3A"/>
    <w:rsid w:val="00482EFF"/>
    <w:rsid w:val="00483196"/>
    <w:rsid w:val="00484E77"/>
    <w:rsid w:val="0048505F"/>
    <w:rsid w:val="004861B5"/>
    <w:rsid w:val="004912D5"/>
    <w:rsid w:val="00491653"/>
    <w:rsid w:val="00492882"/>
    <w:rsid w:val="00493DBE"/>
    <w:rsid w:val="0049463A"/>
    <w:rsid w:val="00494B9A"/>
    <w:rsid w:val="00495066"/>
    <w:rsid w:val="00497034"/>
    <w:rsid w:val="00497133"/>
    <w:rsid w:val="00497411"/>
    <w:rsid w:val="00497E06"/>
    <w:rsid w:val="004A0A1E"/>
    <w:rsid w:val="004A0D14"/>
    <w:rsid w:val="004A112C"/>
    <w:rsid w:val="004A2811"/>
    <w:rsid w:val="004A3958"/>
    <w:rsid w:val="004A4C2D"/>
    <w:rsid w:val="004A5571"/>
    <w:rsid w:val="004A5740"/>
    <w:rsid w:val="004A6EB7"/>
    <w:rsid w:val="004A73B8"/>
    <w:rsid w:val="004A759A"/>
    <w:rsid w:val="004A7F0A"/>
    <w:rsid w:val="004A7F7A"/>
    <w:rsid w:val="004B0C4D"/>
    <w:rsid w:val="004B0CD0"/>
    <w:rsid w:val="004B0D40"/>
    <w:rsid w:val="004B19DD"/>
    <w:rsid w:val="004B27A2"/>
    <w:rsid w:val="004B28F4"/>
    <w:rsid w:val="004B2EED"/>
    <w:rsid w:val="004B2FC6"/>
    <w:rsid w:val="004B454C"/>
    <w:rsid w:val="004B48C1"/>
    <w:rsid w:val="004B4B98"/>
    <w:rsid w:val="004B5E7B"/>
    <w:rsid w:val="004B67F9"/>
    <w:rsid w:val="004B6C6C"/>
    <w:rsid w:val="004B73A3"/>
    <w:rsid w:val="004B7C8D"/>
    <w:rsid w:val="004C1706"/>
    <w:rsid w:val="004C1B1B"/>
    <w:rsid w:val="004C216E"/>
    <w:rsid w:val="004C2D4C"/>
    <w:rsid w:val="004C3055"/>
    <w:rsid w:val="004C3B37"/>
    <w:rsid w:val="004C46CF"/>
    <w:rsid w:val="004C5DC7"/>
    <w:rsid w:val="004C64BF"/>
    <w:rsid w:val="004C7C11"/>
    <w:rsid w:val="004C7F9E"/>
    <w:rsid w:val="004D0F08"/>
    <w:rsid w:val="004D10AA"/>
    <w:rsid w:val="004D1604"/>
    <w:rsid w:val="004D173E"/>
    <w:rsid w:val="004D2480"/>
    <w:rsid w:val="004D2C0E"/>
    <w:rsid w:val="004E0BE7"/>
    <w:rsid w:val="004E19DD"/>
    <w:rsid w:val="004E1C29"/>
    <w:rsid w:val="004E2477"/>
    <w:rsid w:val="004E2EFE"/>
    <w:rsid w:val="004E30A3"/>
    <w:rsid w:val="004E3303"/>
    <w:rsid w:val="004E3DF9"/>
    <w:rsid w:val="004E6800"/>
    <w:rsid w:val="004E730A"/>
    <w:rsid w:val="004E7940"/>
    <w:rsid w:val="004E7C76"/>
    <w:rsid w:val="004F28BF"/>
    <w:rsid w:val="004F4374"/>
    <w:rsid w:val="004F565C"/>
    <w:rsid w:val="004F62A8"/>
    <w:rsid w:val="004F6F98"/>
    <w:rsid w:val="004F78AE"/>
    <w:rsid w:val="00500D35"/>
    <w:rsid w:val="00501072"/>
    <w:rsid w:val="0050158F"/>
    <w:rsid w:val="00502B1C"/>
    <w:rsid w:val="00503391"/>
    <w:rsid w:val="005039B2"/>
    <w:rsid w:val="00503D4F"/>
    <w:rsid w:val="00504938"/>
    <w:rsid w:val="00504F22"/>
    <w:rsid w:val="00510AF4"/>
    <w:rsid w:val="00510BDF"/>
    <w:rsid w:val="00510C28"/>
    <w:rsid w:val="00510D24"/>
    <w:rsid w:val="00510EE8"/>
    <w:rsid w:val="00511320"/>
    <w:rsid w:val="00511D7B"/>
    <w:rsid w:val="00512B68"/>
    <w:rsid w:val="00513573"/>
    <w:rsid w:val="0051481A"/>
    <w:rsid w:val="00514F83"/>
    <w:rsid w:val="005160E4"/>
    <w:rsid w:val="0051667F"/>
    <w:rsid w:val="0051689C"/>
    <w:rsid w:val="00516C48"/>
    <w:rsid w:val="00517D4E"/>
    <w:rsid w:val="005208A4"/>
    <w:rsid w:val="00524407"/>
    <w:rsid w:val="00525242"/>
    <w:rsid w:val="0052524D"/>
    <w:rsid w:val="00526098"/>
    <w:rsid w:val="005267FA"/>
    <w:rsid w:val="00526CC4"/>
    <w:rsid w:val="00526FA8"/>
    <w:rsid w:val="00530187"/>
    <w:rsid w:val="005306F3"/>
    <w:rsid w:val="005312DA"/>
    <w:rsid w:val="005313C2"/>
    <w:rsid w:val="00531CFD"/>
    <w:rsid w:val="005327D6"/>
    <w:rsid w:val="00532A4A"/>
    <w:rsid w:val="00534D3D"/>
    <w:rsid w:val="00537056"/>
    <w:rsid w:val="00537294"/>
    <w:rsid w:val="0054170D"/>
    <w:rsid w:val="00542CF8"/>
    <w:rsid w:val="0054310A"/>
    <w:rsid w:val="00543E82"/>
    <w:rsid w:val="00543E83"/>
    <w:rsid w:val="00545906"/>
    <w:rsid w:val="00546540"/>
    <w:rsid w:val="00547073"/>
    <w:rsid w:val="00547BD4"/>
    <w:rsid w:val="0055024A"/>
    <w:rsid w:val="005508CE"/>
    <w:rsid w:val="005535BF"/>
    <w:rsid w:val="00553672"/>
    <w:rsid w:val="00554CB4"/>
    <w:rsid w:val="00555163"/>
    <w:rsid w:val="00555B93"/>
    <w:rsid w:val="0055601A"/>
    <w:rsid w:val="005561C2"/>
    <w:rsid w:val="00556262"/>
    <w:rsid w:val="005568EC"/>
    <w:rsid w:val="0056023C"/>
    <w:rsid w:val="00565AC8"/>
    <w:rsid w:val="00567D8F"/>
    <w:rsid w:val="0057108A"/>
    <w:rsid w:val="005710C9"/>
    <w:rsid w:val="005724A0"/>
    <w:rsid w:val="00572E20"/>
    <w:rsid w:val="005733C3"/>
    <w:rsid w:val="005738F8"/>
    <w:rsid w:val="005747C6"/>
    <w:rsid w:val="005748D8"/>
    <w:rsid w:val="005756C1"/>
    <w:rsid w:val="00575722"/>
    <w:rsid w:val="005760BC"/>
    <w:rsid w:val="00576F50"/>
    <w:rsid w:val="00577AEB"/>
    <w:rsid w:val="00577B88"/>
    <w:rsid w:val="00580E7D"/>
    <w:rsid w:val="005826F1"/>
    <w:rsid w:val="00584249"/>
    <w:rsid w:val="005848BD"/>
    <w:rsid w:val="00592E9E"/>
    <w:rsid w:val="00593D1F"/>
    <w:rsid w:val="0059412F"/>
    <w:rsid w:val="00596268"/>
    <w:rsid w:val="005968FF"/>
    <w:rsid w:val="00596C07"/>
    <w:rsid w:val="005972F8"/>
    <w:rsid w:val="00597498"/>
    <w:rsid w:val="00597626"/>
    <w:rsid w:val="005A3324"/>
    <w:rsid w:val="005A5731"/>
    <w:rsid w:val="005A5C5B"/>
    <w:rsid w:val="005A6E2C"/>
    <w:rsid w:val="005A759D"/>
    <w:rsid w:val="005A7709"/>
    <w:rsid w:val="005A7B7B"/>
    <w:rsid w:val="005B28BA"/>
    <w:rsid w:val="005B37F6"/>
    <w:rsid w:val="005B39C8"/>
    <w:rsid w:val="005B3E0B"/>
    <w:rsid w:val="005B43F1"/>
    <w:rsid w:val="005B4D2D"/>
    <w:rsid w:val="005B53C8"/>
    <w:rsid w:val="005B5A14"/>
    <w:rsid w:val="005B7103"/>
    <w:rsid w:val="005B740F"/>
    <w:rsid w:val="005C002A"/>
    <w:rsid w:val="005C040E"/>
    <w:rsid w:val="005C13DA"/>
    <w:rsid w:val="005C3C61"/>
    <w:rsid w:val="005C3FB5"/>
    <w:rsid w:val="005C49F8"/>
    <w:rsid w:val="005C7BC2"/>
    <w:rsid w:val="005D10F1"/>
    <w:rsid w:val="005D243F"/>
    <w:rsid w:val="005D25C6"/>
    <w:rsid w:val="005D42AD"/>
    <w:rsid w:val="005D42CE"/>
    <w:rsid w:val="005D622C"/>
    <w:rsid w:val="005D626E"/>
    <w:rsid w:val="005D73D0"/>
    <w:rsid w:val="005E0C75"/>
    <w:rsid w:val="005E1980"/>
    <w:rsid w:val="005E2715"/>
    <w:rsid w:val="005E291F"/>
    <w:rsid w:val="005E444E"/>
    <w:rsid w:val="005E4E13"/>
    <w:rsid w:val="005E550C"/>
    <w:rsid w:val="005E6B86"/>
    <w:rsid w:val="005E7B6C"/>
    <w:rsid w:val="005E7E9D"/>
    <w:rsid w:val="005F0114"/>
    <w:rsid w:val="005F03E7"/>
    <w:rsid w:val="005F0FAA"/>
    <w:rsid w:val="005F21B2"/>
    <w:rsid w:val="005F2BDF"/>
    <w:rsid w:val="005F3A31"/>
    <w:rsid w:val="005F45D6"/>
    <w:rsid w:val="005F5B09"/>
    <w:rsid w:val="005F6EAB"/>
    <w:rsid w:val="005F6FFD"/>
    <w:rsid w:val="005F7417"/>
    <w:rsid w:val="00600EFD"/>
    <w:rsid w:val="00601B39"/>
    <w:rsid w:val="00602B14"/>
    <w:rsid w:val="00602ECF"/>
    <w:rsid w:val="006039BD"/>
    <w:rsid w:val="006054E1"/>
    <w:rsid w:val="00605CAF"/>
    <w:rsid w:val="00607520"/>
    <w:rsid w:val="00610171"/>
    <w:rsid w:val="006102D3"/>
    <w:rsid w:val="00610783"/>
    <w:rsid w:val="00610E98"/>
    <w:rsid w:val="0061269A"/>
    <w:rsid w:val="00613002"/>
    <w:rsid w:val="006158AE"/>
    <w:rsid w:val="00616ED9"/>
    <w:rsid w:val="00616F91"/>
    <w:rsid w:val="00617FCF"/>
    <w:rsid w:val="00620B0D"/>
    <w:rsid w:val="0062410E"/>
    <w:rsid w:val="0062460A"/>
    <w:rsid w:val="006253BC"/>
    <w:rsid w:val="00625947"/>
    <w:rsid w:val="00625F92"/>
    <w:rsid w:val="006266E8"/>
    <w:rsid w:val="00630DDB"/>
    <w:rsid w:val="0063107E"/>
    <w:rsid w:val="00632BCF"/>
    <w:rsid w:val="00632C2A"/>
    <w:rsid w:val="006366F3"/>
    <w:rsid w:val="00637184"/>
    <w:rsid w:val="00637824"/>
    <w:rsid w:val="00637B22"/>
    <w:rsid w:val="0064461D"/>
    <w:rsid w:val="00644EE2"/>
    <w:rsid w:val="006467DC"/>
    <w:rsid w:val="0064683F"/>
    <w:rsid w:val="00646F69"/>
    <w:rsid w:val="0064761C"/>
    <w:rsid w:val="006477D3"/>
    <w:rsid w:val="0065021F"/>
    <w:rsid w:val="00650C6C"/>
    <w:rsid w:val="006530EB"/>
    <w:rsid w:val="0065389C"/>
    <w:rsid w:val="00655095"/>
    <w:rsid w:val="00655150"/>
    <w:rsid w:val="00655267"/>
    <w:rsid w:val="006552B7"/>
    <w:rsid w:val="00657352"/>
    <w:rsid w:val="006618D2"/>
    <w:rsid w:val="00663257"/>
    <w:rsid w:val="006635A8"/>
    <w:rsid w:val="00664EBB"/>
    <w:rsid w:val="00665AD8"/>
    <w:rsid w:val="006667EA"/>
    <w:rsid w:val="00667A37"/>
    <w:rsid w:val="006702FE"/>
    <w:rsid w:val="006705C1"/>
    <w:rsid w:val="006721CD"/>
    <w:rsid w:val="00672DCD"/>
    <w:rsid w:val="00672F23"/>
    <w:rsid w:val="006736BF"/>
    <w:rsid w:val="0067561C"/>
    <w:rsid w:val="00675C69"/>
    <w:rsid w:val="00676072"/>
    <w:rsid w:val="0067631E"/>
    <w:rsid w:val="006779B7"/>
    <w:rsid w:val="00680BAD"/>
    <w:rsid w:val="00680FA7"/>
    <w:rsid w:val="0068190A"/>
    <w:rsid w:val="00683685"/>
    <w:rsid w:val="00683DF7"/>
    <w:rsid w:val="006845B5"/>
    <w:rsid w:val="006857C9"/>
    <w:rsid w:val="00690463"/>
    <w:rsid w:val="006922A0"/>
    <w:rsid w:val="00693AD9"/>
    <w:rsid w:val="00693CB6"/>
    <w:rsid w:val="00695326"/>
    <w:rsid w:val="00695BCC"/>
    <w:rsid w:val="00695FFC"/>
    <w:rsid w:val="006A0C24"/>
    <w:rsid w:val="006A2DAB"/>
    <w:rsid w:val="006A33F0"/>
    <w:rsid w:val="006A3538"/>
    <w:rsid w:val="006A3C83"/>
    <w:rsid w:val="006A48D3"/>
    <w:rsid w:val="006A4B76"/>
    <w:rsid w:val="006A5271"/>
    <w:rsid w:val="006A6871"/>
    <w:rsid w:val="006A756A"/>
    <w:rsid w:val="006A7570"/>
    <w:rsid w:val="006B16C4"/>
    <w:rsid w:val="006B1923"/>
    <w:rsid w:val="006B27E3"/>
    <w:rsid w:val="006B297A"/>
    <w:rsid w:val="006B377C"/>
    <w:rsid w:val="006B3BF5"/>
    <w:rsid w:val="006B4A03"/>
    <w:rsid w:val="006B5703"/>
    <w:rsid w:val="006B59CE"/>
    <w:rsid w:val="006B636E"/>
    <w:rsid w:val="006C00B4"/>
    <w:rsid w:val="006C0439"/>
    <w:rsid w:val="006C14FD"/>
    <w:rsid w:val="006C561F"/>
    <w:rsid w:val="006C6D09"/>
    <w:rsid w:val="006C7773"/>
    <w:rsid w:val="006C7856"/>
    <w:rsid w:val="006C7871"/>
    <w:rsid w:val="006D0068"/>
    <w:rsid w:val="006D11A0"/>
    <w:rsid w:val="006D144B"/>
    <w:rsid w:val="006D2446"/>
    <w:rsid w:val="006D38B1"/>
    <w:rsid w:val="006D47DA"/>
    <w:rsid w:val="006D4FAA"/>
    <w:rsid w:val="006D5019"/>
    <w:rsid w:val="006D5245"/>
    <w:rsid w:val="006D5654"/>
    <w:rsid w:val="006D565C"/>
    <w:rsid w:val="006D67D9"/>
    <w:rsid w:val="006D75B3"/>
    <w:rsid w:val="006E148E"/>
    <w:rsid w:val="006E17D3"/>
    <w:rsid w:val="006E1DA4"/>
    <w:rsid w:val="006E2888"/>
    <w:rsid w:val="006E2C08"/>
    <w:rsid w:val="006E3280"/>
    <w:rsid w:val="006E57EE"/>
    <w:rsid w:val="006E586E"/>
    <w:rsid w:val="006E5DEC"/>
    <w:rsid w:val="006E6996"/>
    <w:rsid w:val="006F3E47"/>
    <w:rsid w:val="006F4B28"/>
    <w:rsid w:val="006F53EF"/>
    <w:rsid w:val="006F65C6"/>
    <w:rsid w:val="00700DEE"/>
    <w:rsid w:val="00701040"/>
    <w:rsid w:val="00701650"/>
    <w:rsid w:val="007026C1"/>
    <w:rsid w:val="007043B7"/>
    <w:rsid w:val="00704EF6"/>
    <w:rsid w:val="007051CE"/>
    <w:rsid w:val="007053F7"/>
    <w:rsid w:val="007065DB"/>
    <w:rsid w:val="00706AAD"/>
    <w:rsid w:val="00707B59"/>
    <w:rsid w:val="0071173A"/>
    <w:rsid w:val="00711DD8"/>
    <w:rsid w:val="00713E1E"/>
    <w:rsid w:val="00716951"/>
    <w:rsid w:val="0072009B"/>
    <w:rsid w:val="00721AC1"/>
    <w:rsid w:val="00722A46"/>
    <w:rsid w:val="0072306D"/>
    <w:rsid w:val="007246F3"/>
    <w:rsid w:val="00726336"/>
    <w:rsid w:val="007268EB"/>
    <w:rsid w:val="00727A0F"/>
    <w:rsid w:val="007325B9"/>
    <w:rsid w:val="00735232"/>
    <w:rsid w:val="007352A6"/>
    <w:rsid w:val="00736204"/>
    <w:rsid w:val="00736799"/>
    <w:rsid w:val="00737079"/>
    <w:rsid w:val="00737D01"/>
    <w:rsid w:val="00740E11"/>
    <w:rsid w:val="0074110A"/>
    <w:rsid w:val="00742190"/>
    <w:rsid w:val="00742806"/>
    <w:rsid w:val="00743998"/>
    <w:rsid w:val="007448EA"/>
    <w:rsid w:val="007476BC"/>
    <w:rsid w:val="00750F0E"/>
    <w:rsid w:val="00751153"/>
    <w:rsid w:val="007511F4"/>
    <w:rsid w:val="00752943"/>
    <w:rsid w:val="00752991"/>
    <w:rsid w:val="00756422"/>
    <w:rsid w:val="00757483"/>
    <w:rsid w:val="00757A27"/>
    <w:rsid w:val="00757C5A"/>
    <w:rsid w:val="00760CB9"/>
    <w:rsid w:val="0076102E"/>
    <w:rsid w:val="00761424"/>
    <w:rsid w:val="0076177D"/>
    <w:rsid w:val="007644E0"/>
    <w:rsid w:val="0077146A"/>
    <w:rsid w:val="00771A5C"/>
    <w:rsid w:val="00772567"/>
    <w:rsid w:val="007726AB"/>
    <w:rsid w:val="00773FDA"/>
    <w:rsid w:val="0077407C"/>
    <w:rsid w:val="0077440E"/>
    <w:rsid w:val="00774C9C"/>
    <w:rsid w:val="007757EF"/>
    <w:rsid w:val="007761ED"/>
    <w:rsid w:val="00776248"/>
    <w:rsid w:val="00776B68"/>
    <w:rsid w:val="00777931"/>
    <w:rsid w:val="00777D6D"/>
    <w:rsid w:val="007801E6"/>
    <w:rsid w:val="00780B29"/>
    <w:rsid w:val="00782D07"/>
    <w:rsid w:val="007855C3"/>
    <w:rsid w:val="00785CE4"/>
    <w:rsid w:val="00786182"/>
    <w:rsid w:val="00787CE6"/>
    <w:rsid w:val="00790B49"/>
    <w:rsid w:val="00791E0A"/>
    <w:rsid w:val="00792406"/>
    <w:rsid w:val="007926D8"/>
    <w:rsid w:val="0079274D"/>
    <w:rsid w:val="00792F59"/>
    <w:rsid w:val="00794778"/>
    <w:rsid w:val="00795794"/>
    <w:rsid w:val="00795F09"/>
    <w:rsid w:val="007963AE"/>
    <w:rsid w:val="00796A74"/>
    <w:rsid w:val="007A06A1"/>
    <w:rsid w:val="007A1A5F"/>
    <w:rsid w:val="007A1B9E"/>
    <w:rsid w:val="007A6029"/>
    <w:rsid w:val="007A64DC"/>
    <w:rsid w:val="007A68EF"/>
    <w:rsid w:val="007A6A29"/>
    <w:rsid w:val="007A71EA"/>
    <w:rsid w:val="007B0305"/>
    <w:rsid w:val="007B0AAD"/>
    <w:rsid w:val="007B134B"/>
    <w:rsid w:val="007C18A4"/>
    <w:rsid w:val="007C224B"/>
    <w:rsid w:val="007C23DF"/>
    <w:rsid w:val="007C26A3"/>
    <w:rsid w:val="007C2C01"/>
    <w:rsid w:val="007C2F73"/>
    <w:rsid w:val="007C3FEE"/>
    <w:rsid w:val="007C63D7"/>
    <w:rsid w:val="007C7508"/>
    <w:rsid w:val="007C7F7D"/>
    <w:rsid w:val="007D06C4"/>
    <w:rsid w:val="007D0F54"/>
    <w:rsid w:val="007D0FA4"/>
    <w:rsid w:val="007D1150"/>
    <w:rsid w:val="007D1B5D"/>
    <w:rsid w:val="007D1CC7"/>
    <w:rsid w:val="007D2A85"/>
    <w:rsid w:val="007D2FF1"/>
    <w:rsid w:val="007D4FD0"/>
    <w:rsid w:val="007D5028"/>
    <w:rsid w:val="007D537A"/>
    <w:rsid w:val="007D5AFF"/>
    <w:rsid w:val="007D7273"/>
    <w:rsid w:val="007D7BB4"/>
    <w:rsid w:val="007E1190"/>
    <w:rsid w:val="007E199B"/>
    <w:rsid w:val="007E2859"/>
    <w:rsid w:val="007E2908"/>
    <w:rsid w:val="007E3B46"/>
    <w:rsid w:val="007E4145"/>
    <w:rsid w:val="007E47D4"/>
    <w:rsid w:val="007E5863"/>
    <w:rsid w:val="007E5D85"/>
    <w:rsid w:val="007E712B"/>
    <w:rsid w:val="007E74D5"/>
    <w:rsid w:val="007E78C7"/>
    <w:rsid w:val="007F161B"/>
    <w:rsid w:val="007F1D67"/>
    <w:rsid w:val="007F3319"/>
    <w:rsid w:val="007F4084"/>
    <w:rsid w:val="007F5860"/>
    <w:rsid w:val="007F77FD"/>
    <w:rsid w:val="007F7A4A"/>
    <w:rsid w:val="00800E99"/>
    <w:rsid w:val="008010C2"/>
    <w:rsid w:val="008017D1"/>
    <w:rsid w:val="00801F9B"/>
    <w:rsid w:val="0080299F"/>
    <w:rsid w:val="008033C8"/>
    <w:rsid w:val="008033FE"/>
    <w:rsid w:val="00803B91"/>
    <w:rsid w:val="00804B22"/>
    <w:rsid w:val="008054EA"/>
    <w:rsid w:val="00812391"/>
    <w:rsid w:val="00812C58"/>
    <w:rsid w:val="0081337C"/>
    <w:rsid w:val="00814AEB"/>
    <w:rsid w:val="008173A0"/>
    <w:rsid w:val="008206A8"/>
    <w:rsid w:val="00821A66"/>
    <w:rsid w:val="0082249A"/>
    <w:rsid w:val="008232E6"/>
    <w:rsid w:val="0082407B"/>
    <w:rsid w:val="0082459D"/>
    <w:rsid w:val="00824DEC"/>
    <w:rsid w:val="008264AB"/>
    <w:rsid w:val="00827C75"/>
    <w:rsid w:val="00831559"/>
    <w:rsid w:val="008326BB"/>
    <w:rsid w:val="00832BC3"/>
    <w:rsid w:val="00833120"/>
    <w:rsid w:val="00835DBB"/>
    <w:rsid w:val="00836657"/>
    <w:rsid w:val="008406FB"/>
    <w:rsid w:val="008414ED"/>
    <w:rsid w:val="00844AB1"/>
    <w:rsid w:val="00844E80"/>
    <w:rsid w:val="0084521A"/>
    <w:rsid w:val="008503A3"/>
    <w:rsid w:val="00850D4E"/>
    <w:rsid w:val="008512AC"/>
    <w:rsid w:val="008516B6"/>
    <w:rsid w:val="00851742"/>
    <w:rsid w:val="00852BAF"/>
    <w:rsid w:val="008532E6"/>
    <w:rsid w:val="00854568"/>
    <w:rsid w:val="0085597C"/>
    <w:rsid w:val="00855CC4"/>
    <w:rsid w:val="008560D5"/>
    <w:rsid w:val="00861186"/>
    <w:rsid w:val="0086344D"/>
    <w:rsid w:val="0086376A"/>
    <w:rsid w:val="00865AA4"/>
    <w:rsid w:val="00865CF1"/>
    <w:rsid w:val="00866100"/>
    <w:rsid w:val="0086624A"/>
    <w:rsid w:val="00866308"/>
    <w:rsid w:val="0086644E"/>
    <w:rsid w:val="0086732F"/>
    <w:rsid w:val="00867666"/>
    <w:rsid w:val="00870D81"/>
    <w:rsid w:val="008712FD"/>
    <w:rsid w:val="008714F8"/>
    <w:rsid w:val="00871D25"/>
    <w:rsid w:val="00872876"/>
    <w:rsid w:val="00872FD9"/>
    <w:rsid w:val="00873A0C"/>
    <w:rsid w:val="00875C2D"/>
    <w:rsid w:val="00877FC6"/>
    <w:rsid w:val="00880712"/>
    <w:rsid w:val="008808AC"/>
    <w:rsid w:val="008813A6"/>
    <w:rsid w:val="00882B56"/>
    <w:rsid w:val="00882F50"/>
    <w:rsid w:val="00883043"/>
    <w:rsid w:val="0088686B"/>
    <w:rsid w:val="00887055"/>
    <w:rsid w:val="008875D5"/>
    <w:rsid w:val="0089001F"/>
    <w:rsid w:val="008914E7"/>
    <w:rsid w:val="008918E9"/>
    <w:rsid w:val="00891EA7"/>
    <w:rsid w:val="0089262D"/>
    <w:rsid w:val="00892F62"/>
    <w:rsid w:val="00894642"/>
    <w:rsid w:val="00896097"/>
    <w:rsid w:val="008A0392"/>
    <w:rsid w:val="008A1573"/>
    <w:rsid w:val="008A15E5"/>
    <w:rsid w:val="008A3269"/>
    <w:rsid w:val="008A3A50"/>
    <w:rsid w:val="008A5246"/>
    <w:rsid w:val="008A5953"/>
    <w:rsid w:val="008B028F"/>
    <w:rsid w:val="008B0A7D"/>
    <w:rsid w:val="008B2900"/>
    <w:rsid w:val="008B2A10"/>
    <w:rsid w:val="008B2FAD"/>
    <w:rsid w:val="008B3354"/>
    <w:rsid w:val="008B381A"/>
    <w:rsid w:val="008B4472"/>
    <w:rsid w:val="008B453C"/>
    <w:rsid w:val="008B4D36"/>
    <w:rsid w:val="008B6340"/>
    <w:rsid w:val="008C0D3F"/>
    <w:rsid w:val="008C23A8"/>
    <w:rsid w:val="008C2766"/>
    <w:rsid w:val="008C2B79"/>
    <w:rsid w:val="008C3509"/>
    <w:rsid w:val="008C404C"/>
    <w:rsid w:val="008C4CBC"/>
    <w:rsid w:val="008C5DE3"/>
    <w:rsid w:val="008C6AC8"/>
    <w:rsid w:val="008C7217"/>
    <w:rsid w:val="008C765D"/>
    <w:rsid w:val="008D065A"/>
    <w:rsid w:val="008D0FD3"/>
    <w:rsid w:val="008D16BA"/>
    <w:rsid w:val="008D21C3"/>
    <w:rsid w:val="008D277A"/>
    <w:rsid w:val="008D28FA"/>
    <w:rsid w:val="008D381C"/>
    <w:rsid w:val="008D39A8"/>
    <w:rsid w:val="008D3E4E"/>
    <w:rsid w:val="008D4619"/>
    <w:rsid w:val="008D5CB9"/>
    <w:rsid w:val="008E078C"/>
    <w:rsid w:val="008E0E95"/>
    <w:rsid w:val="008E1552"/>
    <w:rsid w:val="008E1602"/>
    <w:rsid w:val="008E2C1D"/>
    <w:rsid w:val="008E33B0"/>
    <w:rsid w:val="008E4C64"/>
    <w:rsid w:val="008E5792"/>
    <w:rsid w:val="008E59F6"/>
    <w:rsid w:val="008E6070"/>
    <w:rsid w:val="008E65EF"/>
    <w:rsid w:val="008F0BB1"/>
    <w:rsid w:val="008F0CB2"/>
    <w:rsid w:val="008F0E9E"/>
    <w:rsid w:val="008F1963"/>
    <w:rsid w:val="008F39B0"/>
    <w:rsid w:val="008F67B0"/>
    <w:rsid w:val="008F763D"/>
    <w:rsid w:val="00900FC7"/>
    <w:rsid w:val="00901492"/>
    <w:rsid w:val="00901D90"/>
    <w:rsid w:val="00902649"/>
    <w:rsid w:val="00906B43"/>
    <w:rsid w:val="00910C1A"/>
    <w:rsid w:val="00911216"/>
    <w:rsid w:val="009116EB"/>
    <w:rsid w:val="009125D7"/>
    <w:rsid w:val="00913573"/>
    <w:rsid w:val="009137B2"/>
    <w:rsid w:val="009157D9"/>
    <w:rsid w:val="009162A1"/>
    <w:rsid w:val="00916A76"/>
    <w:rsid w:val="009174F3"/>
    <w:rsid w:val="00920ACC"/>
    <w:rsid w:val="00920C56"/>
    <w:rsid w:val="00923C70"/>
    <w:rsid w:val="00924E4C"/>
    <w:rsid w:val="00925438"/>
    <w:rsid w:val="00925BB9"/>
    <w:rsid w:val="00927994"/>
    <w:rsid w:val="00927DBA"/>
    <w:rsid w:val="00930435"/>
    <w:rsid w:val="00932EA2"/>
    <w:rsid w:val="009330D8"/>
    <w:rsid w:val="00934FBF"/>
    <w:rsid w:val="00935A6E"/>
    <w:rsid w:val="009365E3"/>
    <w:rsid w:val="009379C6"/>
    <w:rsid w:val="00940640"/>
    <w:rsid w:val="00941350"/>
    <w:rsid w:val="009415E0"/>
    <w:rsid w:val="00942CF2"/>
    <w:rsid w:val="009431E0"/>
    <w:rsid w:val="00943B0B"/>
    <w:rsid w:val="00943C0A"/>
    <w:rsid w:val="00944454"/>
    <w:rsid w:val="00944800"/>
    <w:rsid w:val="00944B03"/>
    <w:rsid w:val="00946B75"/>
    <w:rsid w:val="00950301"/>
    <w:rsid w:val="009516A9"/>
    <w:rsid w:val="00951DAE"/>
    <w:rsid w:val="00951E5A"/>
    <w:rsid w:val="009531DF"/>
    <w:rsid w:val="00953741"/>
    <w:rsid w:val="009537E1"/>
    <w:rsid w:val="00953BB4"/>
    <w:rsid w:val="009541EE"/>
    <w:rsid w:val="009556EB"/>
    <w:rsid w:val="00955A74"/>
    <w:rsid w:val="00956FB4"/>
    <w:rsid w:val="00957245"/>
    <w:rsid w:val="00957446"/>
    <w:rsid w:val="0096029A"/>
    <w:rsid w:val="00960E76"/>
    <w:rsid w:val="00961211"/>
    <w:rsid w:val="00961991"/>
    <w:rsid w:val="00962193"/>
    <w:rsid w:val="0096229B"/>
    <w:rsid w:val="00962D6A"/>
    <w:rsid w:val="00962ED6"/>
    <w:rsid w:val="0096352B"/>
    <w:rsid w:val="0096413F"/>
    <w:rsid w:val="0096454C"/>
    <w:rsid w:val="00964A00"/>
    <w:rsid w:val="00965771"/>
    <w:rsid w:val="00965A41"/>
    <w:rsid w:val="00966382"/>
    <w:rsid w:val="00967B8B"/>
    <w:rsid w:val="00970045"/>
    <w:rsid w:val="009706E5"/>
    <w:rsid w:val="00970BF4"/>
    <w:rsid w:val="00972632"/>
    <w:rsid w:val="00972AE8"/>
    <w:rsid w:val="00977029"/>
    <w:rsid w:val="00982D5D"/>
    <w:rsid w:val="009830FE"/>
    <w:rsid w:val="00983177"/>
    <w:rsid w:val="00983775"/>
    <w:rsid w:val="00983EEE"/>
    <w:rsid w:val="009840A3"/>
    <w:rsid w:val="00991C6C"/>
    <w:rsid w:val="00992FA2"/>
    <w:rsid w:val="009936D7"/>
    <w:rsid w:val="00993C96"/>
    <w:rsid w:val="009943F7"/>
    <w:rsid w:val="009956AC"/>
    <w:rsid w:val="00996737"/>
    <w:rsid w:val="0099691D"/>
    <w:rsid w:val="00996E21"/>
    <w:rsid w:val="009A0C59"/>
    <w:rsid w:val="009A1C9A"/>
    <w:rsid w:val="009A1F94"/>
    <w:rsid w:val="009A28AA"/>
    <w:rsid w:val="009A2B1F"/>
    <w:rsid w:val="009A3610"/>
    <w:rsid w:val="009A371F"/>
    <w:rsid w:val="009A3BB6"/>
    <w:rsid w:val="009A4043"/>
    <w:rsid w:val="009A4154"/>
    <w:rsid w:val="009A45C9"/>
    <w:rsid w:val="009A490C"/>
    <w:rsid w:val="009A53BA"/>
    <w:rsid w:val="009A6418"/>
    <w:rsid w:val="009A74B7"/>
    <w:rsid w:val="009A7832"/>
    <w:rsid w:val="009B070D"/>
    <w:rsid w:val="009B1C83"/>
    <w:rsid w:val="009B1C93"/>
    <w:rsid w:val="009B238C"/>
    <w:rsid w:val="009B408C"/>
    <w:rsid w:val="009B4191"/>
    <w:rsid w:val="009B43AC"/>
    <w:rsid w:val="009B6867"/>
    <w:rsid w:val="009B71C4"/>
    <w:rsid w:val="009B761D"/>
    <w:rsid w:val="009C129E"/>
    <w:rsid w:val="009C16B9"/>
    <w:rsid w:val="009C1DC0"/>
    <w:rsid w:val="009C26A5"/>
    <w:rsid w:val="009C27AA"/>
    <w:rsid w:val="009C389C"/>
    <w:rsid w:val="009C43E2"/>
    <w:rsid w:val="009C4BF7"/>
    <w:rsid w:val="009C5D8B"/>
    <w:rsid w:val="009C5EE1"/>
    <w:rsid w:val="009C5EE9"/>
    <w:rsid w:val="009C7447"/>
    <w:rsid w:val="009C783E"/>
    <w:rsid w:val="009C7C93"/>
    <w:rsid w:val="009D0507"/>
    <w:rsid w:val="009D147C"/>
    <w:rsid w:val="009D2431"/>
    <w:rsid w:val="009D3412"/>
    <w:rsid w:val="009D41C1"/>
    <w:rsid w:val="009D4F87"/>
    <w:rsid w:val="009D5A3F"/>
    <w:rsid w:val="009D5F93"/>
    <w:rsid w:val="009D6A4E"/>
    <w:rsid w:val="009E0486"/>
    <w:rsid w:val="009E0897"/>
    <w:rsid w:val="009E099F"/>
    <w:rsid w:val="009E0A9E"/>
    <w:rsid w:val="009E0D3C"/>
    <w:rsid w:val="009E1415"/>
    <w:rsid w:val="009E1CB8"/>
    <w:rsid w:val="009E2829"/>
    <w:rsid w:val="009E2DB3"/>
    <w:rsid w:val="009E2FE8"/>
    <w:rsid w:val="009E5587"/>
    <w:rsid w:val="009E5D68"/>
    <w:rsid w:val="009E5DD6"/>
    <w:rsid w:val="009E7BA9"/>
    <w:rsid w:val="009F1EF1"/>
    <w:rsid w:val="009F3217"/>
    <w:rsid w:val="009F3ECA"/>
    <w:rsid w:val="009F4F47"/>
    <w:rsid w:val="00A0018B"/>
    <w:rsid w:val="00A00A10"/>
    <w:rsid w:val="00A013B4"/>
    <w:rsid w:val="00A01AB2"/>
    <w:rsid w:val="00A0202D"/>
    <w:rsid w:val="00A03D04"/>
    <w:rsid w:val="00A048C3"/>
    <w:rsid w:val="00A06DAD"/>
    <w:rsid w:val="00A12449"/>
    <w:rsid w:val="00A158DD"/>
    <w:rsid w:val="00A1702D"/>
    <w:rsid w:val="00A174D7"/>
    <w:rsid w:val="00A177E4"/>
    <w:rsid w:val="00A17B0E"/>
    <w:rsid w:val="00A17B9B"/>
    <w:rsid w:val="00A205D6"/>
    <w:rsid w:val="00A20CD8"/>
    <w:rsid w:val="00A21055"/>
    <w:rsid w:val="00A21664"/>
    <w:rsid w:val="00A220F6"/>
    <w:rsid w:val="00A22260"/>
    <w:rsid w:val="00A22C89"/>
    <w:rsid w:val="00A23C51"/>
    <w:rsid w:val="00A23D26"/>
    <w:rsid w:val="00A23FA8"/>
    <w:rsid w:val="00A24476"/>
    <w:rsid w:val="00A26B2B"/>
    <w:rsid w:val="00A27581"/>
    <w:rsid w:val="00A27DEF"/>
    <w:rsid w:val="00A310C2"/>
    <w:rsid w:val="00A31A71"/>
    <w:rsid w:val="00A326A2"/>
    <w:rsid w:val="00A32D3B"/>
    <w:rsid w:val="00A33602"/>
    <w:rsid w:val="00A34174"/>
    <w:rsid w:val="00A34881"/>
    <w:rsid w:val="00A35297"/>
    <w:rsid w:val="00A353EE"/>
    <w:rsid w:val="00A35FC1"/>
    <w:rsid w:val="00A36588"/>
    <w:rsid w:val="00A37DEF"/>
    <w:rsid w:val="00A4169F"/>
    <w:rsid w:val="00A436CA"/>
    <w:rsid w:val="00A43F71"/>
    <w:rsid w:val="00A44692"/>
    <w:rsid w:val="00A44D3A"/>
    <w:rsid w:val="00A44DF6"/>
    <w:rsid w:val="00A463FF"/>
    <w:rsid w:val="00A474A9"/>
    <w:rsid w:val="00A50D2F"/>
    <w:rsid w:val="00A53014"/>
    <w:rsid w:val="00A53500"/>
    <w:rsid w:val="00A53E10"/>
    <w:rsid w:val="00A557E5"/>
    <w:rsid w:val="00A55A34"/>
    <w:rsid w:val="00A563AD"/>
    <w:rsid w:val="00A567E7"/>
    <w:rsid w:val="00A57E23"/>
    <w:rsid w:val="00A63C63"/>
    <w:rsid w:val="00A66C60"/>
    <w:rsid w:val="00A673CC"/>
    <w:rsid w:val="00A67522"/>
    <w:rsid w:val="00A67C60"/>
    <w:rsid w:val="00A703CC"/>
    <w:rsid w:val="00A70FED"/>
    <w:rsid w:val="00A7251D"/>
    <w:rsid w:val="00A72539"/>
    <w:rsid w:val="00A75E67"/>
    <w:rsid w:val="00A7600B"/>
    <w:rsid w:val="00A764A5"/>
    <w:rsid w:val="00A83F1D"/>
    <w:rsid w:val="00A86FAE"/>
    <w:rsid w:val="00A915ED"/>
    <w:rsid w:val="00A9209B"/>
    <w:rsid w:val="00A93434"/>
    <w:rsid w:val="00A945F0"/>
    <w:rsid w:val="00A94F8A"/>
    <w:rsid w:val="00A95077"/>
    <w:rsid w:val="00A954C5"/>
    <w:rsid w:val="00A97620"/>
    <w:rsid w:val="00AA0C77"/>
    <w:rsid w:val="00AA1CFC"/>
    <w:rsid w:val="00AA267A"/>
    <w:rsid w:val="00AA30C7"/>
    <w:rsid w:val="00AA4109"/>
    <w:rsid w:val="00AA483E"/>
    <w:rsid w:val="00AA4E25"/>
    <w:rsid w:val="00AA75B6"/>
    <w:rsid w:val="00AA7BA0"/>
    <w:rsid w:val="00AB020B"/>
    <w:rsid w:val="00AB042D"/>
    <w:rsid w:val="00AB0F2A"/>
    <w:rsid w:val="00AB2552"/>
    <w:rsid w:val="00AB2D23"/>
    <w:rsid w:val="00AB2FA9"/>
    <w:rsid w:val="00AB3465"/>
    <w:rsid w:val="00AB56DC"/>
    <w:rsid w:val="00AB58B7"/>
    <w:rsid w:val="00AB69D6"/>
    <w:rsid w:val="00AB7DB9"/>
    <w:rsid w:val="00AC362D"/>
    <w:rsid w:val="00AC587F"/>
    <w:rsid w:val="00AC5CD8"/>
    <w:rsid w:val="00AC6966"/>
    <w:rsid w:val="00AC6ECD"/>
    <w:rsid w:val="00AC7F60"/>
    <w:rsid w:val="00AD1B65"/>
    <w:rsid w:val="00AD315A"/>
    <w:rsid w:val="00AD3C2F"/>
    <w:rsid w:val="00AD3FC1"/>
    <w:rsid w:val="00AD4161"/>
    <w:rsid w:val="00AD5BEC"/>
    <w:rsid w:val="00AD5C5F"/>
    <w:rsid w:val="00AD7829"/>
    <w:rsid w:val="00AD7D4F"/>
    <w:rsid w:val="00AE18D3"/>
    <w:rsid w:val="00AE19B0"/>
    <w:rsid w:val="00AE2735"/>
    <w:rsid w:val="00AE34F4"/>
    <w:rsid w:val="00AE3ED6"/>
    <w:rsid w:val="00AE4864"/>
    <w:rsid w:val="00AE4BF6"/>
    <w:rsid w:val="00AE4E2A"/>
    <w:rsid w:val="00AE5540"/>
    <w:rsid w:val="00AE56DF"/>
    <w:rsid w:val="00AE5EEB"/>
    <w:rsid w:val="00AE6C92"/>
    <w:rsid w:val="00AF018D"/>
    <w:rsid w:val="00AF0463"/>
    <w:rsid w:val="00AF0A4E"/>
    <w:rsid w:val="00AF0E80"/>
    <w:rsid w:val="00AF1889"/>
    <w:rsid w:val="00AF36DE"/>
    <w:rsid w:val="00AF3742"/>
    <w:rsid w:val="00AF3797"/>
    <w:rsid w:val="00AF37A9"/>
    <w:rsid w:val="00AF3BF8"/>
    <w:rsid w:val="00AF620A"/>
    <w:rsid w:val="00B0039B"/>
    <w:rsid w:val="00B00D34"/>
    <w:rsid w:val="00B013EB"/>
    <w:rsid w:val="00B01438"/>
    <w:rsid w:val="00B02EC1"/>
    <w:rsid w:val="00B03EAD"/>
    <w:rsid w:val="00B04E46"/>
    <w:rsid w:val="00B050B8"/>
    <w:rsid w:val="00B05F0E"/>
    <w:rsid w:val="00B07092"/>
    <w:rsid w:val="00B07E54"/>
    <w:rsid w:val="00B10555"/>
    <w:rsid w:val="00B112BF"/>
    <w:rsid w:val="00B127D9"/>
    <w:rsid w:val="00B12BFE"/>
    <w:rsid w:val="00B1468C"/>
    <w:rsid w:val="00B14F7B"/>
    <w:rsid w:val="00B160C1"/>
    <w:rsid w:val="00B167C5"/>
    <w:rsid w:val="00B16845"/>
    <w:rsid w:val="00B176FD"/>
    <w:rsid w:val="00B20032"/>
    <w:rsid w:val="00B218AD"/>
    <w:rsid w:val="00B21DDC"/>
    <w:rsid w:val="00B230DB"/>
    <w:rsid w:val="00B2419F"/>
    <w:rsid w:val="00B248D6"/>
    <w:rsid w:val="00B25B61"/>
    <w:rsid w:val="00B26FB1"/>
    <w:rsid w:val="00B26FDD"/>
    <w:rsid w:val="00B272B1"/>
    <w:rsid w:val="00B307F1"/>
    <w:rsid w:val="00B31E87"/>
    <w:rsid w:val="00B331A4"/>
    <w:rsid w:val="00B34CCB"/>
    <w:rsid w:val="00B356CB"/>
    <w:rsid w:val="00B35A1A"/>
    <w:rsid w:val="00B36407"/>
    <w:rsid w:val="00B36660"/>
    <w:rsid w:val="00B36D7A"/>
    <w:rsid w:val="00B36F27"/>
    <w:rsid w:val="00B37514"/>
    <w:rsid w:val="00B417AA"/>
    <w:rsid w:val="00B41D6B"/>
    <w:rsid w:val="00B43ADD"/>
    <w:rsid w:val="00B44A85"/>
    <w:rsid w:val="00B44D3A"/>
    <w:rsid w:val="00B508BF"/>
    <w:rsid w:val="00B50E73"/>
    <w:rsid w:val="00B51202"/>
    <w:rsid w:val="00B524D4"/>
    <w:rsid w:val="00B52BD1"/>
    <w:rsid w:val="00B52DA9"/>
    <w:rsid w:val="00B5540D"/>
    <w:rsid w:val="00B560C6"/>
    <w:rsid w:val="00B57699"/>
    <w:rsid w:val="00B6121F"/>
    <w:rsid w:val="00B61307"/>
    <w:rsid w:val="00B61422"/>
    <w:rsid w:val="00B61739"/>
    <w:rsid w:val="00B62107"/>
    <w:rsid w:val="00B62351"/>
    <w:rsid w:val="00B62902"/>
    <w:rsid w:val="00B62E11"/>
    <w:rsid w:val="00B65EA8"/>
    <w:rsid w:val="00B66182"/>
    <w:rsid w:val="00B66C68"/>
    <w:rsid w:val="00B701A3"/>
    <w:rsid w:val="00B72FAE"/>
    <w:rsid w:val="00B7465C"/>
    <w:rsid w:val="00B7510D"/>
    <w:rsid w:val="00B75A3C"/>
    <w:rsid w:val="00B75DCE"/>
    <w:rsid w:val="00B76F50"/>
    <w:rsid w:val="00B777A5"/>
    <w:rsid w:val="00B80043"/>
    <w:rsid w:val="00B8022F"/>
    <w:rsid w:val="00B814F9"/>
    <w:rsid w:val="00B81550"/>
    <w:rsid w:val="00B81D48"/>
    <w:rsid w:val="00B835A5"/>
    <w:rsid w:val="00B8376D"/>
    <w:rsid w:val="00B841C6"/>
    <w:rsid w:val="00B84399"/>
    <w:rsid w:val="00B84476"/>
    <w:rsid w:val="00B870A6"/>
    <w:rsid w:val="00B90360"/>
    <w:rsid w:val="00B909B0"/>
    <w:rsid w:val="00B93AA8"/>
    <w:rsid w:val="00B94564"/>
    <w:rsid w:val="00B94D22"/>
    <w:rsid w:val="00B96829"/>
    <w:rsid w:val="00BA147B"/>
    <w:rsid w:val="00BA1859"/>
    <w:rsid w:val="00BA1D0C"/>
    <w:rsid w:val="00BA3103"/>
    <w:rsid w:val="00BA3366"/>
    <w:rsid w:val="00BA583C"/>
    <w:rsid w:val="00BA5B98"/>
    <w:rsid w:val="00BA68E8"/>
    <w:rsid w:val="00BA7C4C"/>
    <w:rsid w:val="00BA7C51"/>
    <w:rsid w:val="00BB10DC"/>
    <w:rsid w:val="00BB13E7"/>
    <w:rsid w:val="00BB21F5"/>
    <w:rsid w:val="00BB37C5"/>
    <w:rsid w:val="00BB4A27"/>
    <w:rsid w:val="00BB61D2"/>
    <w:rsid w:val="00BB63AA"/>
    <w:rsid w:val="00BB6A49"/>
    <w:rsid w:val="00BC0B39"/>
    <w:rsid w:val="00BC157C"/>
    <w:rsid w:val="00BC3053"/>
    <w:rsid w:val="00BC3774"/>
    <w:rsid w:val="00BC37E7"/>
    <w:rsid w:val="00BC4B85"/>
    <w:rsid w:val="00BC4F8D"/>
    <w:rsid w:val="00BC4FAC"/>
    <w:rsid w:val="00BC53EF"/>
    <w:rsid w:val="00BC554F"/>
    <w:rsid w:val="00BC63E4"/>
    <w:rsid w:val="00BC6562"/>
    <w:rsid w:val="00BC6DE0"/>
    <w:rsid w:val="00BD0268"/>
    <w:rsid w:val="00BD216A"/>
    <w:rsid w:val="00BD25C8"/>
    <w:rsid w:val="00BD340D"/>
    <w:rsid w:val="00BD411E"/>
    <w:rsid w:val="00BD428C"/>
    <w:rsid w:val="00BD4290"/>
    <w:rsid w:val="00BD4B77"/>
    <w:rsid w:val="00BD4D6A"/>
    <w:rsid w:val="00BD4E22"/>
    <w:rsid w:val="00BD4F91"/>
    <w:rsid w:val="00BD50A2"/>
    <w:rsid w:val="00BD56CD"/>
    <w:rsid w:val="00BD611A"/>
    <w:rsid w:val="00BD61F8"/>
    <w:rsid w:val="00BD658E"/>
    <w:rsid w:val="00BD7892"/>
    <w:rsid w:val="00BD7F83"/>
    <w:rsid w:val="00BE0AAC"/>
    <w:rsid w:val="00BE12F6"/>
    <w:rsid w:val="00BE184D"/>
    <w:rsid w:val="00BE3423"/>
    <w:rsid w:val="00BE36AA"/>
    <w:rsid w:val="00BE4028"/>
    <w:rsid w:val="00BE4755"/>
    <w:rsid w:val="00BE62BE"/>
    <w:rsid w:val="00BE64B2"/>
    <w:rsid w:val="00BE67BE"/>
    <w:rsid w:val="00BE6A4D"/>
    <w:rsid w:val="00BE771B"/>
    <w:rsid w:val="00BF0655"/>
    <w:rsid w:val="00BF084B"/>
    <w:rsid w:val="00BF0CA7"/>
    <w:rsid w:val="00BF1876"/>
    <w:rsid w:val="00BF1E4E"/>
    <w:rsid w:val="00BF495D"/>
    <w:rsid w:val="00BF4CCB"/>
    <w:rsid w:val="00BF588A"/>
    <w:rsid w:val="00BF6785"/>
    <w:rsid w:val="00BF6BBE"/>
    <w:rsid w:val="00BF6F40"/>
    <w:rsid w:val="00C000AE"/>
    <w:rsid w:val="00C00D0F"/>
    <w:rsid w:val="00C031C0"/>
    <w:rsid w:val="00C0363F"/>
    <w:rsid w:val="00C03687"/>
    <w:rsid w:val="00C03748"/>
    <w:rsid w:val="00C0753B"/>
    <w:rsid w:val="00C07BD7"/>
    <w:rsid w:val="00C10712"/>
    <w:rsid w:val="00C10CF9"/>
    <w:rsid w:val="00C11186"/>
    <w:rsid w:val="00C11444"/>
    <w:rsid w:val="00C147F7"/>
    <w:rsid w:val="00C1482D"/>
    <w:rsid w:val="00C14E48"/>
    <w:rsid w:val="00C159C5"/>
    <w:rsid w:val="00C1702B"/>
    <w:rsid w:val="00C22A5E"/>
    <w:rsid w:val="00C25108"/>
    <w:rsid w:val="00C26F66"/>
    <w:rsid w:val="00C3129C"/>
    <w:rsid w:val="00C3282D"/>
    <w:rsid w:val="00C3425A"/>
    <w:rsid w:val="00C3580C"/>
    <w:rsid w:val="00C358A8"/>
    <w:rsid w:val="00C36346"/>
    <w:rsid w:val="00C37570"/>
    <w:rsid w:val="00C3760D"/>
    <w:rsid w:val="00C41A3D"/>
    <w:rsid w:val="00C41B21"/>
    <w:rsid w:val="00C4224D"/>
    <w:rsid w:val="00C438A5"/>
    <w:rsid w:val="00C511F4"/>
    <w:rsid w:val="00C51781"/>
    <w:rsid w:val="00C52110"/>
    <w:rsid w:val="00C5704D"/>
    <w:rsid w:val="00C577BB"/>
    <w:rsid w:val="00C57807"/>
    <w:rsid w:val="00C5788C"/>
    <w:rsid w:val="00C60A29"/>
    <w:rsid w:val="00C60AD1"/>
    <w:rsid w:val="00C62D84"/>
    <w:rsid w:val="00C62F1F"/>
    <w:rsid w:val="00C64928"/>
    <w:rsid w:val="00C6575C"/>
    <w:rsid w:val="00C65FEB"/>
    <w:rsid w:val="00C66DAA"/>
    <w:rsid w:val="00C66DC6"/>
    <w:rsid w:val="00C67510"/>
    <w:rsid w:val="00C67D23"/>
    <w:rsid w:val="00C67E44"/>
    <w:rsid w:val="00C7287F"/>
    <w:rsid w:val="00C75C10"/>
    <w:rsid w:val="00C76000"/>
    <w:rsid w:val="00C80554"/>
    <w:rsid w:val="00C80E90"/>
    <w:rsid w:val="00C8168B"/>
    <w:rsid w:val="00C81AAE"/>
    <w:rsid w:val="00C8228F"/>
    <w:rsid w:val="00C8406D"/>
    <w:rsid w:val="00C84B29"/>
    <w:rsid w:val="00C84D5F"/>
    <w:rsid w:val="00C8547C"/>
    <w:rsid w:val="00C86B18"/>
    <w:rsid w:val="00C86BD7"/>
    <w:rsid w:val="00C901DD"/>
    <w:rsid w:val="00C906EB"/>
    <w:rsid w:val="00C90AF0"/>
    <w:rsid w:val="00C90E3E"/>
    <w:rsid w:val="00C91457"/>
    <w:rsid w:val="00C91472"/>
    <w:rsid w:val="00C91900"/>
    <w:rsid w:val="00C92559"/>
    <w:rsid w:val="00C93EE1"/>
    <w:rsid w:val="00CA0F72"/>
    <w:rsid w:val="00CA45B8"/>
    <w:rsid w:val="00CA76DC"/>
    <w:rsid w:val="00CB13A4"/>
    <w:rsid w:val="00CB1F8A"/>
    <w:rsid w:val="00CB209E"/>
    <w:rsid w:val="00CB2194"/>
    <w:rsid w:val="00CB2358"/>
    <w:rsid w:val="00CB29A2"/>
    <w:rsid w:val="00CB328B"/>
    <w:rsid w:val="00CB4AA5"/>
    <w:rsid w:val="00CB5581"/>
    <w:rsid w:val="00CB6FF0"/>
    <w:rsid w:val="00CB72DC"/>
    <w:rsid w:val="00CC0CFC"/>
    <w:rsid w:val="00CC408C"/>
    <w:rsid w:val="00CC4B1E"/>
    <w:rsid w:val="00CC4D01"/>
    <w:rsid w:val="00CC636E"/>
    <w:rsid w:val="00CC6507"/>
    <w:rsid w:val="00CC706D"/>
    <w:rsid w:val="00CC7783"/>
    <w:rsid w:val="00CD0FAB"/>
    <w:rsid w:val="00CD2F82"/>
    <w:rsid w:val="00CD478E"/>
    <w:rsid w:val="00CD4914"/>
    <w:rsid w:val="00CD4BEA"/>
    <w:rsid w:val="00CD5433"/>
    <w:rsid w:val="00CD614B"/>
    <w:rsid w:val="00CD7131"/>
    <w:rsid w:val="00CE29C8"/>
    <w:rsid w:val="00CE3163"/>
    <w:rsid w:val="00CE4BB6"/>
    <w:rsid w:val="00CE527A"/>
    <w:rsid w:val="00CE5DB7"/>
    <w:rsid w:val="00CE7861"/>
    <w:rsid w:val="00CE787A"/>
    <w:rsid w:val="00CF12D3"/>
    <w:rsid w:val="00CF20BB"/>
    <w:rsid w:val="00CF2D99"/>
    <w:rsid w:val="00CF4B1D"/>
    <w:rsid w:val="00CF5501"/>
    <w:rsid w:val="00CF70CA"/>
    <w:rsid w:val="00CF753C"/>
    <w:rsid w:val="00CF7E03"/>
    <w:rsid w:val="00D01416"/>
    <w:rsid w:val="00D0142E"/>
    <w:rsid w:val="00D0174A"/>
    <w:rsid w:val="00D0259F"/>
    <w:rsid w:val="00D02CD2"/>
    <w:rsid w:val="00D05091"/>
    <w:rsid w:val="00D0788C"/>
    <w:rsid w:val="00D1203D"/>
    <w:rsid w:val="00D12A1C"/>
    <w:rsid w:val="00D1328E"/>
    <w:rsid w:val="00D13CB3"/>
    <w:rsid w:val="00D1661B"/>
    <w:rsid w:val="00D16D88"/>
    <w:rsid w:val="00D16EDD"/>
    <w:rsid w:val="00D175D2"/>
    <w:rsid w:val="00D17B55"/>
    <w:rsid w:val="00D21126"/>
    <w:rsid w:val="00D214BA"/>
    <w:rsid w:val="00D21EC2"/>
    <w:rsid w:val="00D225D7"/>
    <w:rsid w:val="00D25660"/>
    <w:rsid w:val="00D26035"/>
    <w:rsid w:val="00D27809"/>
    <w:rsid w:val="00D27BBA"/>
    <w:rsid w:val="00D300D5"/>
    <w:rsid w:val="00D31FB7"/>
    <w:rsid w:val="00D322EF"/>
    <w:rsid w:val="00D324C9"/>
    <w:rsid w:val="00D32768"/>
    <w:rsid w:val="00D32BF6"/>
    <w:rsid w:val="00D33417"/>
    <w:rsid w:val="00D3360D"/>
    <w:rsid w:val="00D33AE8"/>
    <w:rsid w:val="00D33D81"/>
    <w:rsid w:val="00D34762"/>
    <w:rsid w:val="00D37C54"/>
    <w:rsid w:val="00D40138"/>
    <w:rsid w:val="00D4055B"/>
    <w:rsid w:val="00D40C7B"/>
    <w:rsid w:val="00D41474"/>
    <w:rsid w:val="00D41AA4"/>
    <w:rsid w:val="00D41AE8"/>
    <w:rsid w:val="00D41BE3"/>
    <w:rsid w:val="00D43404"/>
    <w:rsid w:val="00D436FC"/>
    <w:rsid w:val="00D43889"/>
    <w:rsid w:val="00D44DE4"/>
    <w:rsid w:val="00D4634E"/>
    <w:rsid w:val="00D46FC1"/>
    <w:rsid w:val="00D475F1"/>
    <w:rsid w:val="00D47B10"/>
    <w:rsid w:val="00D50E56"/>
    <w:rsid w:val="00D50F6D"/>
    <w:rsid w:val="00D517F2"/>
    <w:rsid w:val="00D51F02"/>
    <w:rsid w:val="00D534E7"/>
    <w:rsid w:val="00D5462D"/>
    <w:rsid w:val="00D54A6C"/>
    <w:rsid w:val="00D55170"/>
    <w:rsid w:val="00D5544F"/>
    <w:rsid w:val="00D560F0"/>
    <w:rsid w:val="00D566CD"/>
    <w:rsid w:val="00D57DE9"/>
    <w:rsid w:val="00D60629"/>
    <w:rsid w:val="00D61AD9"/>
    <w:rsid w:val="00D61F49"/>
    <w:rsid w:val="00D6261D"/>
    <w:rsid w:val="00D6477D"/>
    <w:rsid w:val="00D648D7"/>
    <w:rsid w:val="00D64F6C"/>
    <w:rsid w:val="00D65B9C"/>
    <w:rsid w:val="00D661F4"/>
    <w:rsid w:val="00D66A67"/>
    <w:rsid w:val="00D674A4"/>
    <w:rsid w:val="00D67E6D"/>
    <w:rsid w:val="00D67FA5"/>
    <w:rsid w:val="00D70006"/>
    <w:rsid w:val="00D70CEC"/>
    <w:rsid w:val="00D711DC"/>
    <w:rsid w:val="00D71938"/>
    <w:rsid w:val="00D740B8"/>
    <w:rsid w:val="00D746A1"/>
    <w:rsid w:val="00D74F6D"/>
    <w:rsid w:val="00D75ABD"/>
    <w:rsid w:val="00D764A4"/>
    <w:rsid w:val="00D770A9"/>
    <w:rsid w:val="00D81B1A"/>
    <w:rsid w:val="00D81FF5"/>
    <w:rsid w:val="00D82337"/>
    <w:rsid w:val="00D823EC"/>
    <w:rsid w:val="00D836F0"/>
    <w:rsid w:val="00D86043"/>
    <w:rsid w:val="00D86F95"/>
    <w:rsid w:val="00D876C8"/>
    <w:rsid w:val="00D87833"/>
    <w:rsid w:val="00D879E3"/>
    <w:rsid w:val="00D87BFF"/>
    <w:rsid w:val="00D9030B"/>
    <w:rsid w:val="00D9047A"/>
    <w:rsid w:val="00D90B92"/>
    <w:rsid w:val="00D90FFD"/>
    <w:rsid w:val="00D91C2F"/>
    <w:rsid w:val="00D92D0D"/>
    <w:rsid w:val="00D94D82"/>
    <w:rsid w:val="00D966AE"/>
    <w:rsid w:val="00D97FEB"/>
    <w:rsid w:val="00DA0709"/>
    <w:rsid w:val="00DA142B"/>
    <w:rsid w:val="00DA28C8"/>
    <w:rsid w:val="00DA6BE9"/>
    <w:rsid w:val="00DB13FF"/>
    <w:rsid w:val="00DB2085"/>
    <w:rsid w:val="00DB2E38"/>
    <w:rsid w:val="00DB3916"/>
    <w:rsid w:val="00DB564D"/>
    <w:rsid w:val="00DB5675"/>
    <w:rsid w:val="00DB7027"/>
    <w:rsid w:val="00DB78E0"/>
    <w:rsid w:val="00DC050E"/>
    <w:rsid w:val="00DC1C27"/>
    <w:rsid w:val="00DC2C1A"/>
    <w:rsid w:val="00DC330E"/>
    <w:rsid w:val="00DC3E19"/>
    <w:rsid w:val="00DC41B5"/>
    <w:rsid w:val="00DC74CC"/>
    <w:rsid w:val="00DC7A8F"/>
    <w:rsid w:val="00DC7C25"/>
    <w:rsid w:val="00DC7CA3"/>
    <w:rsid w:val="00DD0A67"/>
    <w:rsid w:val="00DD0AE3"/>
    <w:rsid w:val="00DD0CC8"/>
    <w:rsid w:val="00DD2155"/>
    <w:rsid w:val="00DD224B"/>
    <w:rsid w:val="00DD3204"/>
    <w:rsid w:val="00DD3568"/>
    <w:rsid w:val="00DD3B1A"/>
    <w:rsid w:val="00DD5EB8"/>
    <w:rsid w:val="00DD6F28"/>
    <w:rsid w:val="00DD71DD"/>
    <w:rsid w:val="00DE51D3"/>
    <w:rsid w:val="00DF2291"/>
    <w:rsid w:val="00DF35C1"/>
    <w:rsid w:val="00DF3A8F"/>
    <w:rsid w:val="00DF4B42"/>
    <w:rsid w:val="00DF616C"/>
    <w:rsid w:val="00DF61DD"/>
    <w:rsid w:val="00DF653D"/>
    <w:rsid w:val="00DF7025"/>
    <w:rsid w:val="00E0025D"/>
    <w:rsid w:val="00E03893"/>
    <w:rsid w:val="00E040D5"/>
    <w:rsid w:val="00E04519"/>
    <w:rsid w:val="00E04890"/>
    <w:rsid w:val="00E04C9F"/>
    <w:rsid w:val="00E04E4B"/>
    <w:rsid w:val="00E06420"/>
    <w:rsid w:val="00E06B09"/>
    <w:rsid w:val="00E06BEA"/>
    <w:rsid w:val="00E111AB"/>
    <w:rsid w:val="00E11C7A"/>
    <w:rsid w:val="00E124A1"/>
    <w:rsid w:val="00E13145"/>
    <w:rsid w:val="00E13850"/>
    <w:rsid w:val="00E14195"/>
    <w:rsid w:val="00E14292"/>
    <w:rsid w:val="00E14902"/>
    <w:rsid w:val="00E16933"/>
    <w:rsid w:val="00E170DD"/>
    <w:rsid w:val="00E1721B"/>
    <w:rsid w:val="00E173D4"/>
    <w:rsid w:val="00E174CF"/>
    <w:rsid w:val="00E20CBD"/>
    <w:rsid w:val="00E22B42"/>
    <w:rsid w:val="00E2379F"/>
    <w:rsid w:val="00E24E3F"/>
    <w:rsid w:val="00E25177"/>
    <w:rsid w:val="00E25DB1"/>
    <w:rsid w:val="00E25FDD"/>
    <w:rsid w:val="00E263AB"/>
    <w:rsid w:val="00E30E4A"/>
    <w:rsid w:val="00E30FB4"/>
    <w:rsid w:val="00E320F6"/>
    <w:rsid w:val="00E3320D"/>
    <w:rsid w:val="00E33891"/>
    <w:rsid w:val="00E33DF8"/>
    <w:rsid w:val="00E33E73"/>
    <w:rsid w:val="00E36191"/>
    <w:rsid w:val="00E3640C"/>
    <w:rsid w:val="00E3650C"/>
    <w:rsid w:val="00E36902"/>
    <w:rsid w:val="00E37608"/>
    <w:rsid w:val="00E401A4"/>
    <w:rsid w:val="00E41D23"/>
    <w:rsid w:val="00E4495C"/>
    <w:rsid w:val="00E456D3"/>
    <w:rsid w:val="00E4602E"/>
    <w:rsid w:val="00E47E3A"/>
    <w:rsid w:val="00E50156"/>
    <w:rsid w:val="00E5184C"/>
    <w:rsid w:val="00E52C34"/>
    <w:rsid w:val="00E54320"/>
    <w:rsid w:val="00E55392"/>
    <w:rsid w:val="00E55786"/>
    <w:rsid w:val="00E55C17"/>
    <w:rsid w:val="00E55D99"/>
    <w:rsid w:val="00E563AC"/>
    <w:rsid w:val="00E564A6"/>
    <w:rsid w:val="00E56F15"/>
    <w:rsid w:val="00E57571"/>
    <w:rsid w:val="00E60C1E"/>
    <w:rsid w:val="00E6339B"/>
    <w:rsid w:val="00E633BE"/>
    <w:rsid w:val="00E63946"/>
    <w:rsid w:val="00E645EF"/>
    <w:rsid w:val="00E646F8"/>
    <w:rsid w:val="00E654E7"/>
    <w:rsid w:val="00E66237"/>
    <w:rsid w:val="00E66ECC"/>
    <w:rsid w:val="00E709A8"/>
    <w:rsid w:val="00E7168D"/>
    <w:rsid w:val="00E72AAA"/>
    <w:rsid w:val="00E72EAE"/>
    <w:rsid w:val="00E75248"/>
    <w:rsid w:val="00E7555A"/>
    <w:rsid w:val="00E75848"/>
    <w:rsid w:val="00E75B5C"/>
    <w:rsid w:val="00E7778F"/>
    <w:rsid w:val="00E77A0B"/>
    <w:rsid w:val="00E804DB"/>
    <w:rsid w:val="00E80F17"/>
    <w:rsid w:val="00E81054"/>
    <w:rsid w:val="00E81A75"/>
    <w:rsid w:val="00E822E3"/>
    <w:rsid w:val="00E84246"/>
    <w:rsid w:val="00E843E0"/>
    <w:rsid w:val="00E84E47"/>
    <w:rsid w:val="00E84F48"/>
    <w:rsid w:val="00E850D7"/>
    <w:rsid w:val="00E8641F"/>
    <w:rsid w:val="00E87C50"/>
    <w:rsid w:val="00E908C5"/>
    <w:rsid w:val="00E90BC8"/>
    <w:rsid w:val="00E91518"/>
    <w:rsid w:val="00E91F74"/>
    <w:rsid w:val="00E92344"/>
    <w:rsid w:val="00E92405"/>
    <w:rsid w:val="00E92918"/>
    <w:rsid w:val="00E931CD"/>
    <w:rsid w:val="00E9442F"/>
    <w:rsid w:val="00E95EE5"/>
    <w:rsid w:val="00E95F4B"/>
    <w:rsid w:val="00E96978"/>
    <w:rsid w:val="00E96BD2"/>
    <w:rsid w:val="00E96F0E"/>
    <w:rsid w:val="00E97127"/>
    <w:rsid w:val="00E97942"/>
    <w:rsid w:val="00EA2590"/>
    <w:rsid w:val="00EA301E"/>
    <w:rsid w:val="00EA3505"/>
    <w:rsid w:val="00EA3CD5"/>
    <w:rsid w:val="00EA3D11"/>
    <w:rsid w:val="00EA614F"/>
    <w:rsid w:val="00EA689E"/>
    <w:rsid w:val="00EA7481"/>
    <w:rsid w:val="00EA7A2A"/>
    <w:rsid w:val="00EB0141"/>
    <w:rsid w:val="00EB1C23"/>
    <w:rsid w:val="00EB1D1B"/>
    <w:rsid w:val="00EB262E"/>
    <w:rsid w:val="00EB2C2C"/>
    <w:rsid w:val="00EB2E54"/>
    <w:rsid w:val="00EB311D"/>
    <w:rsid w:val="00EB35A7"/>
    <w:rsid w:val="00EB46C3"/>
    <w:rsid w:val="00EB57E8"/>
    <w:rsid w:val="00EB605B"/>
    <w:rsid w:val="00EB771B"/>
    <w:rsid w:val="00EB7A91"/>
    <w:rsid w:val="00EC24B0"/>
    <w:rsid w:val="00EC27B4"/>
    <w:rsid w:val="00EC2E0B"/>
    <w:rsid w:val="00EC306E"/>
    <w:rsid w:val="00EC364F"/>
    <w:rsid w:val="00EC435E"/>
    <w:rsid w:val="00EC525C"/>
    <w:rsid w:val="00EC539A"/>
    <w:rsid w:val="00EC5953"/>
    <w:rsid w:val="00EC5B7A"/>
    <w:rsid w:val="00EC5B86"/>
    <w:rsid w:val="00EC6248"/>
    <w:rsid w:val="00EC6D2A"/>
    <w:rsid w:val="00EC6ECB"/>
    <w:rsid w:val="00ED09B4"/>
    <w:rsid w:val="00ED1B6C"/>
    <w:rsid w:val="00ED1BA7"/>
    <w:rsid w:val="00ED2402"/>
    <w:rsid w:val="00ED340D"/>
    <w:rsid w:val="00ED37D3"/>
    <w:rsid w:val="00ED51BA"/>
    <w:rsid w:val="00ED669C"/>
    <w:rsid w:val="00ED6C49"/>
    <w:rsid w:val="00EE1617"/>
    <w:rsid w:val="00EE20CD"/>
    <w:rsid w:val="00EE29E5"/>
    <w:rsid w:val="00EE34B1"/>
    <w:rsid w:val="00EE3A0E"/>
    <w:rsid w:val="00EE4058"/>
    <w:rsid w:val="00EE4EAB"/>
    <w:rsid w:val="00EE5833"/>
    <w:rsid w:val="00EE59EA"/>
    <w:rsid w:val="00EE60D5"/>
    <w:rsid w:val="00EE7495"/>
    <w:rsid w:val="00EE78C0"/>
    <w:rsid w:val="00EF14CE"/>
    <w:rsid w:val="00EF26FD"/>
    <w:rsid w:val="00EF4B92"/>
    <w:rsid w:val="00EF54E7"/>
    <w:rsid w:val="00EF60CC"/>
    <w:rsid w:val="00EF60D4"/>
    <w:rsid w:val="00EF6118"/>
    <w:rsid w:val="00EF758C"/>
    <w:rsid w:val="00F001C7"/>
    <w:rsid w:val="00F00599"/>
    <w:rsid w:val="00F02C98"/>
    <w:rsid w:val="00F03935"/>
    <w:rsid w:val="00F0458A"/>
    <w:rsid w:val="00F04A85"/>
    <w:rsid w:val="00F04D55"/>
    <w:rsid w:val="00F051C5"/>
    <w:rsid w:val="00F05DCF"/>
    <w:rsid w:val="00F06281"/>
    <w:rsid w:val="00F06282"/>
    <w:rsid w:val="00F06380"/>
    <w:rsid w:val="00F1077D"/>
    <w:rsid w:val="00F110DB"/>
    <w:rsid w:val="00F11D6C"/>
    <w:rsid w:val="00F11EC3"/>
    <w:rsid w:val="00F123E3"/>
    <w:rsid w:val="00F13049"/>
    <w:rsid w:val="00F1345A"/>
    <w:rsid w:val="00F1372D"/>
    <w:rsid w:val="00F14CF7"/>
    <w:rsid w:val="00F16B3A"/>
    <w:rsid w:val="00F2231E"/>
    <w:rsid w:val="00F239C6"/>
    <w:rsid w:val="00F2559E"/>
    <w:rsid w:val="00F2598C"/>
    <w:rsid w:val="00F26E03"/>
    <w:rsid w:val="00F27AB9"/>
    <w:rsid w:val="00F30F2D"/>
    <w:rsid w:val="00F313F2"/>
    <w:rsid w:val="00F31527"/>
    <w:rsid w:val="00F32395"/>
    <w:rsid w:val="00F34009"/>
    <w:rsid w:val="00F351CB"/>
    <w:rsid w:val="00F36935"/>
    <w:rsid w:val="00F36A59"/>
    <w:rsid w:val="00F36D55"/>
    <w:rsid w:val="00F36F3A"/>
    <w:rsid w:val="00F4008C"/>
    <w:rsid w:val="00F40824"/>
    <w:rsid w:val="00F41238"/>
    <w:rsid w:val="00F413E0"/>
    <w:rsid w:val="00F4433B"/>
    <w:rsid w:val="00F454F7"/>
    <w:rsid w:val="00F4727B"/>
    <w:rsid w:val="00F47307"/>
    <w:rsid w:val="00F5012F"/>
    <w:rsid w:val="00F50FC6"/>
    <w:rsid w:val="00F51A6E"/>
    <w:rsid w:val="00F526F9"/>
    <w:rsid w:val="00F52CA5"/>
    <w:rsid w:val="00F5399D"/>
    <w:rsid w:val="00F53C1A"/>
    <w:rsid w:val="00F56509"/>
    <w:rsid w:val="00F57508"/>
    <w:rsid w:val="00F57E2C"/>
    <w:rsid w:val="00F60271"/>
    <w:rsid w:val="00F60447"/>
    <w:rsid w:val="00F62CE7"/>
    <w:rsid w:val="00F6496A"/>
    <w:rsid w:val="00F65680"/>
    <w:rsid w:val="00F66FDF"/>
    <w:rsid w:val="00F67120"/>
    <w:rsid w:val="00F6728A"/>
    <w:rsid w:val="00F67A7F"/>
    <w:rsid w:val="00F70BBA"/>
    <w:rsid w:val="00F716A5"/>
    <w:rsid w:val="00F72116"/>
    <w:rsid w:val="00F73F19"/>
    <w:rsid w:val="00F7430D"/>
    <w:rsid w:val="00F744DE"/>
    <w:rsid w:val="00F748A8"/>
    <w:rsid w:val="00F75119"/>
    <w:rsid w:val="00F76578"/>
    <w:rsid w:val="00F7676E"/>
    <w:rsid w:val="00F772D5"/>
    <w:rsid w:val="00F802C2"/>
    <w:rsid w:val="00F812E4"/>
    <w:rsid w:val="00F81404"/>
    <w:rsid w:val="00F81DA4"/>
    <w:rsid w:val="00F82748"/>
    <w:rsid w:val="00F82897"/>
    <w:rsid w:val="00F83492"/>
    <w:rsid w:val="00F84C77"/>
    <w:rsid w:val="00F84E7B"/>
    <w:rsid w:val="00F85FEC"/>
    <w:rsid w:val="00F874CB"/>
    <w:rsid w:val="00F900A2"/>
    <w:rsid w:val="00F9062A"/>
    <w:rsid w:val="00F91174"/>
    <w:rsid w:val="00F9150A"/>
    <w:rsid w:val="00F91810"/>
    <w:rsid w:val="00F91F0E"/>
    <w:rsid w:val="00F92602"/>
    <w:rsid w:val="00F92B33"/>
    <w:rsid w:val="00F93248"/>
    <w:rsid w:val="00F933B7"/>
    <w:rsid w:val="00F93BF9"/>
    <w:rsid w:val="00FA118C"/>
    <w:rsid w:val="00FA1B37"/>
    <w:rsid w:val="00FA2766"/>
    <w:rsid w:val="00FA295A"/>
    <w:rsid w:val="00FA2CFC"/>
    <w:rsid w:val="00FA532F"/>
    <w:rsid w:val="00FA5436"/>
    <w:rsid w:val="00FA7079"/>
    <w:rsid w:val="00FA719D"/>
    <w:rsid w:val="00FA76B4"/>
    <w:rsid w:val="00FA7767"/>
    <w:rsid w:val="00FB1222"/>
    <w:rsid w:val="00FB12B8"/>
    <w:rsid w:val="00FB1945"/>
    <w:rsid w:val="00FB1B1E"/>
    <w:rsid w:val="00FB2BC4"/>
    <w:rsid w:val="00FB33D4"/>
    <w:rsid w:val="00FB49DB"/>
    <w:rsid w:val="00FB51F0"/>
    <w:rsid w:val="00FB5E23"/>
    <w:rsid w:val="00FB70F4"/>
    <w:rsid w:val="00FB794B"/>
    <w:rsid w:val="00FC3FA9"/>
    <w:rsid w:val="00FC4288"/>
    <w:rsid w:val="00FC434C"/>
    <w:rsid w:val="00FC5D7A"/>
    <w:rsid w:val="00FC6DC3"/>
    <w:rsid w:val="00FC71D7"/>
    <w:rsid w:val="00FD01AC"/>
    <w:rsid w:val="00FD2A38"/>
    <w:rsid w:val="00FD2A9C"/>
    <w:rsid w:val="00FD2F25"/>
    <w:rsid w:val="00FD34EE"/>
    <w:rsid w:val="00FD381A"/>
    <w:rsid w:val="00FD563C"/>
    <w:rsid w:val="00FD572E"/>
    <w:rsid w:val="00FD57F8"/>
    <w:rsid w:val="00FD6BD9"/>
    <w:rsid w:val="00FE07EB"/>
    <w:rsid w:val="00FE0FFE"/>
    <w:rsid w:val="00FE1336"/>
    <w:rsid w:val="00FE19CD"/>
    <w:rsid w:val="00FE1A1B"/>
    <w:rsid w:val="00FE287F"/>
    <w:rsid w:val="00FE28DD"/>
    <w:rsid w:val="00FE2F79"/>
    <w:rsid w:val="00FE3002"/>
    <w:rsid w:val="00FE4C0D"/>
    <w:rsid w:val="00FE4C6A"/>
    <w:rsid w:val="00FE7DB8"/>
    <w:rsid w:val="00FF2515"/>
    <w:rsid w:val="00FF260C"/>
    <w:rsid w:val="00FF4BEF"/>
    <w:rsid w:val="00FF551F"/>
    <w:rsid w:val="00FF57B2"/>
    <w:rsid w:val="00FF5D3E"/>
    <w:rsid w:val="00FF64D6"/>
    <w:rsid w:val="00FF71AB"/>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si-LK"/>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47"/>
    <w:rPr>
      <w:rFonts w:ascii="Times New Roman" w:eastAsia="Times New Roman" w:hAnsi="Times New Roman"/>
      <w:sz w:val="24"/>
      <w:szCs w:val="24"/>
      <w:lang w:bidi="ar-SA"/>
    </w:rPr>
  </w:style>
  <w:style w:type="paragraph" w:styleId="Heading1">
    <w:name w:val="heading 1"/>
    <w:basedOn w:val="Normal"/>
    <w:next w:val="Normal"/>
    <w:link w:val="Heading1Char"/>
    <w:uiPriority w:val="99"/>
    <w:qFormat/>
    <w:rsid w:val="00296047"/>
    <w:pPr>
      <w:keepNext/>
      <w:spacing w:before="100" w:beforeAutospacing="1" w:after="100" w:afterAutospacing="1" w:line="120" w:lineRule="auto"/>
      <w:jc w:val="center"/>
      <w:outlineLvl w:val="0"/>
    </w:pPr>
    <w:rPr>
      <w:rFonts w:ascii="Cambria" w:eastAsia="Calibri" w:hAnsi="Cambria" w:cs="Arial Unicode MS"/>
      <w:b/>
      <w:bCs/>
      <w:kern w:val="32"/>
      <w:sz w:val="32"/>
      <w:szCs w:val="32"/>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6047"/>
    <w:rPr>
      <w:rFonts w:ascii="Cambria" w:hAnsi="Cambria" w:cs="Arial Unicode MS"/>
      <w:b/>
      <w:bCs/>
      <w:kern w:val="32"/>
      <w:sz w:val="32"/>
      <w:szCs w:val="32"/>
    </w:rPr>
  </w:style>
  <w:style w:type="character" w:styleId="Hyperlink">
    <w:name w:val="Hyperlink"/>
    <w:uiPriority w:val="99"/>
    <w:rsid w:val="00296047"/>
    <w:rPr>
      <w:rFonts w:cs="Times New Roman"/>
      <w:color w:val="0000FF"/>
      <w:u w:val="single"/>
    </w:rPr>
  </w:style>
  <w:style w:type="paragraph" w:styleId="BodyTextIndent3">
    <w:name w:val="Body Text Indent 3"/>
    <w:basedOn w:val="Normal"/>
    <w:link w:val="BodyTextIndent3Char"/>
    <w:uiPriority w:val="99"/>
    <w:rsid w:val="00296047"/>
    <w:pPr>
      <w:suppressAutoHyphens/>
      <w:spacing w:after="120"/>
      <w:ind w:left="360"/>
    </w:pPr>
    <w:rPr>
      <w:rFonts w:eastAsia="Calibri" w:cs="Arial Unicode MS"/>
      <w:sz w:val="16"/>
      <w:szCs w:val="16"/>
      <w:lang w:bidi="si-LK"/>
    </w:rPr>
  </w:style>
  <w:style w:type="character" w:customStyle="1" w:styleId="BodyTextIndent3Char">
    <w:name w:val="Body Text Indent 3 Char"/>
    <w:link w:val="BodyTextIndent3"/>
    <w:uiPriority w:val="99"/>
    <w:locked/>
    <w:rsid w:val="00296047"/>
    <w:rPr>
      <w:rFonts w:ascii="Times New Roman" w:hAnsi="Times New Roman" w:cs="Arial Unicode MS"/>
      <w:sz w:val="16"/>
      <w:szCs w:val="16"/>
    </w:rPr>
  </w:style>
  <w:style w:type="paragraph" w:customStyle="1" w:styleId="Default">
    <w:name w:val="Default"/>
    <w:uiPriority w:val="99"/>
    <w:rsid w:val="00296047"/>
    <w:pPr>
      <w:autoSpaceDE w:val="0"/>
      <w:autoSpaceDN w:val="0"/>
      <w:adjustRightInd w:val="0"/>
    </w:pPr>
    <w:rPr>
      <w:rFonts w:ascii="Book Antiqua" w:eastAsia="Times New Roman" w:hAnsi="Book Antiqua" w:cs="Book Antiqua"/>
      <w:color w:val="000000"/>
      <w:sz w:val="24"/>
      <w:szCs w:val="24"/>
    </w:rPr>
  </w:style>
  <w:style w:type="paragraph" w:styleId="Footer">
    <w:name w:val="footer"/>
    <w:basedOn w:val="Normal"/>
    <w:link w:val="FooterChar"/>
    <w:uiPriority w:val="99"/>
    <w:rsid w:val="00296047"/>
    <w:pPr>
      <w:tabs>
        <w:tab w:val="center" w:pos="4680"/>
        <w:tab w:val="right" w:pos="9360"/>
      </w:tabs>
    </w:pPr>
    <w:rPr>
      <w:rFonts w:eastAsia="Calibri"/>
    </w:rPr>
  </w:style>
  <w:style w:type="character" w:customStyle="1" w:styleId="FooterChar">
    <w:name w:val="Footer Char"/>
    <w:link w:val="Footer"/>
    <w:uiPriority w:val="99"/>
    <w:locked/>
    <w:rsid w:val="00296047"/>
    <w:rPr>
      <w:rFonts w:ascii="Times New Roman" w:hAnsi="Times New Roman" w:cs="Mangal"/>
      <w:sz w:val="24"/>
      <w:szCs w:val="24"/>
      <w:lang w:bidi="ar-SA"/>
    </w:rPr>
  </w:style>
  <w:style w:type="paragraph" w:styleId="BalloonText">
    <w:name w:val="Balloon Text"/>
    <w:basedOn w:val="Normal"/>
    <w:link w:val="BalloonTextChar"/>
    <w:uiPriority w:val="99"/>
    <w:semiHidden/>
    <w:unhideWhenUsed/>
    <w:rsid w:val="00A353EE"/>
    <w:rPr>
      <w:rFonts w:ascii="Tahoma" w:hAnsi="Tahoma" w:cs="Tahoma"/>
      <w:sz w:val="16"/>
      <w:szCs w:val="16"/>
    </w:rPr>
  </w:style>
  <w:style w:type="character" w:customStyle="1" w:styleId="BalloonTextChar">
    <w:name w:val="Balloon Text Char"/>
    <w:link w:val="BalloonText"/>
    <w:uiPriority w:val="99"/>
    <w:semiHidden/>
    <w:rsid w:val="00A353EE"/>
    <w:rPr>
      <w:rFonts w:ascii="Tahoma" w:eastAsia="Times New Roman" w:hAnsi="Tahoma" w:cs="Tahoma"/>
      <w:sz w:val="16"/>
      <w:szCs w:val="16"/>
      <w:lang w:bidi="ar-SA"/>
    </w:rPr>
  </w:style>
  <w:style w:type="paragraph" w:styleId="ListParagraph">
    <w:name w:val="List Paragraph"/>
    <w:basedOn w:val="Normal"/>
    <w:qFormat/>
    <w:rsid w:val="000D25EB"/>
    <w:pPr>
      <w:suppressAutoHyphens/>
      <w:spacing w:after="200" w:line="276" w:lineRule="auto"/>
      <w:ind w:left="720"/>
    </w:pPr>
    <w:rPr>
      <w:rFonts w:ascii="Calibri" w:eastAsia="Calibri" w:hAnsi="Calibri" w:cs="Iskoola Pota"/>
      <w:sz w:val="22"/>
      <w:szCs w:val="22"/>
      <w:lang w:val="en-GB" w:eastAsia="si-LK" w:bidi="si-LK"/>
    </w:rPr>
  </w:style>
  <w:style w:type="paragraph" w:styleId="NormalWeb">
    <w:name w:val="Normal (Web)"/>
    <w:basedOn w:val="Normal"/>
    <w:uiPriority w:val="99"/>
    <w:unhideWhenUsed/>
    <w:rsid w:val="00FE3002"/>
    <w:pPr>
      <w:spacing w:before="100" w:beforeAutospacing="1" w:after="115"/>
    </w:pPr>
    <w:rPr>
      <w:rFonts w:cs="Times New Roman"/>
    </w:rPr>
  </w:style>
  <w:style w:type="numbering" w:customStyle="1" w:styleId="NoList1">
    <w:name w:val="No List1"/>
    <w:next w:val="NoList"/>
    <w:uiPriority w:val="99"/>
    <w:semiHidden/>
    <w:unhideWhenUsed/>
    <w:rsid w:val="002C3FCA"/>
  </w:style>
  <w:style w:type="paragraph" w:styleId="Header">
    <w:name w:val="header"/>
    <w:basedOn w:val="Normal"/>
    <w:link w:val="HeaderChar"/>
    <w:uiPriority w:val="99"/>
    <w:unhideWhenUsed/>
    <w:rsid w:val="00EE78C0"/>
    <w:pPr>
      <w:tabs>
        <w:tab w:val="center" w:pos="4680"/>
        <w:tab w:val="right" w:pos="9360"/>
      </w:tabs>
    </w:pPr>
    <w:rPr>
      <w:rFonts w:cs="Arial Unicode MS"/>
      <w:lang w:bidi="si-LK"/>
    </w:rPr>
  </w:style>
  <w:style w:type="character" w:customStyle="1" w:styleId="HeaderChar">
    <w:name w:val="Header Char"/>
    <w:link w:val="Header"/>
    <w:uiPriority w:val="99"/>
    <w:rsid w:val="00EE78C0"/>
    <w:rPr>
      <w:rFonts w:ascii="Times New Roman" w:eastAsia="Times New Roman" w:hAnsi="Times New Roman"/>
      <w:sz w:val="24"/>
      <w:szCs w:val="24"/>
    </w:rPr>
  </w:style>
  <w:style w:type="table" w:styleId="LightGrid-Accent2">
    <w:name w:val="Light Grid Accent 2"/>
    <w:basedOn w:val="TableNormal"/>
    <w:uiPriority w:val="62"/>
    <w:rsid w:val="002D1AFC"/>
    <w:rPr>
      <w:rFonts w:cs="Lath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Franklin Gothic Demi Cond" w:eastAsia="Times New Roman" w:hAnsi="Franklin Gothic Demi Cond" w:cs="Lath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Franklin Gothic Demi Cond" w:eastAsia="Times New Roman" w:hAnsi="Franklin Gothic Demi Cond" w:cs="Lath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Franklin Gothic Demi Cond" w:eastAsia="Times New Roman" w:hAnsi="Franklin Gothic Demi Cond" w:cs="Latha"/>
        <w:b/>
        <w:bCs/>
      </w:rPr>
    </w:tblStylePr>
    <w:tblStylePr w:type="lastCol">
      <w:rPr>
        <w:rFonts w:ascii="Franklin Gothic Demi Cond" w:eastAsia="Times New Roman" w:hAnsi="Franklin Gothic Demi Cond" w:cs="Lath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21">
    <w:name w:val="Light Grid - Accent 21"/>
    <w:basedOn w:val="TableNormal"/>
    <w:next w:val="LightGrid-Accent2"/>
    <w:uiPriority w:val="62"/>
    <w:rsid w:val="001E1890"/>
    <w:rPr>
      <w:rFonts w:cs="Lath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Franklin Gothic Demi Cond" w:eastAsia="Times New Roman" w:hAnsi="Franklin Gothic Demi Cond" w:cs="Lath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Franklin Gothic Demi Cond" w:eastAsia="Times New Roman" w:hAnsi="Franklin Gothic Demi Cond" w:cs="Lath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Franklin Gothic Demi Cond" w:eastAsia="Times New Roman" w:hAnsi="Franklin Gothic Demi Cond" w:cs="Latha"/>
        <w:b/>
        <w:bCs/>
      </w:rPr>
    </w:tblStylePr>
    <w:tblStylePr w:type="lastCol">
      <w:rPr>
        <w:rFonts w:ascii="Franklin Gothic Demi Cond" w:eastAsia="Times New Roman" w:hAnsi="Franklin Gothic Demi Cond" w:cs="Lath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1">
    <w:name w:val="Light List1"/>
    <w:basedOn w:val="TableNormal"/>
    <w:uiPriority w:val="61"/>
    <w:rsid w:val="0046527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46527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locked/>
    <w:rsid w:val="006756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466523">
      <w:bodyDiv w:val="1"/>
      <w:marLeft w:val="0"/>
      <w:marRight w:val="0"/>
      <w:marTop w:val="0"/>
      <w:marBottom w:val="0"/>
      <w:divBdr>
        <w:top w:val="none" w:sz="0" w:space="0" w:color="auto"/>
        <w:left w:val="none" w:sz="0" w:space="0" w:color="auto"/>
        <w:bottom w:val="none" w:sz="0" w:space="0" w:color="auto"/>
        <w:right w:val="none" w:sz="0" w:space="0" w:color="auto"/>
      </w:divBdr>
    </w:div>
    <w:div w:id="120853816">
      <w:bodyDiv w:val="1"/>
      <w:marLeft w:val="0"/>
      <w:marRight w:val="0"/>
      <w:marTop w:val="0"/>
      <w:marBottom w:val="0"/>
      <w:divBdr>
        <w:top w:val="none" w:sz="0" w:space="0" w:color="auto"/>
        <w:left w:val="none" w:sz="0" w:space="0" w:color="auto"/>
        <w:bottom w:val="none" w:sz="0" w:space="0" w:color="auto"/>
        <w:right w:val="none" w:sz="0" w:space="0" w:color="auto"/>
      </w:divBdr>
    </w:div>
    <w:div w:id="221913116">
      <w:bodyDiv w:val="1"/>
      <w:marLeft w:val="0"/>
      <w:marRight w:val="0"/>
      <w:marTop w:val="0"/>
      <w:marBottom w:val="0"/>
      <w:divBdr>
        <w:top w:val="none" w:sz="0" w:space="0" w:color="auto"/>
        <w:left w:val="none" w:sz="0" w:space="0" w:color="auto"/>
        <w:bottom w:val="none" w:sz="0" w:space="0" w:color="auto"/>
        <w:right w:val="none" w:sz="0" w:space="0" w:color="auto"/>
      </w:divBdr>
    </w:div>
    <w:div w:id="341511941">
      <w:bodyDiv w:val="1"/>
      <w:marLeft w:val="0"/>
      <w:marRight w:val="0"/>
      <w:marTop w:val="0"/>
      <w:marBottom w:val="0"/>
      <w:divBdr>
        <w:top w:val="none" w:sz="0" w:space="0" w:color="auto"/>
        <w:left w:val="none" w:sz="0" w:space="0" w:color="auto"/>
        <w:bottom w:val="none" w:sz="0" w:space="0" w:color="auto"/>
        <w:right w:val="none" w:sz="0" w:space="0" w:color="auto"/>
      </w:divBdr>
    </w:div>
    <w:div w:id="393898623">
      <w:bodyDiv w:val="1"/>
      <w:marLeft w:val="0"/>
      <w:marRight w:val="0"/>
      <w:marTop w:val="0"/>
      <w:marBottom w:val="0"/>
      <w:divBdr>
        <w:top w:val="none" w:sz="0" w:space="0" w:color="auto"/>
        <w:left w:val="none" w:sz="0" w:space="0" w:color="auto"/>
        <w:bottom w:val="none" w:sz="0" w:space="0" w:color="auto"/>
        <w:right w:val="none" w:sz="0" w:space="0" w:color="auto"/>
      </w:divBdr>
    </w:div>
    <w:div w:id="424038520">
      <w:bodyDiv w:val="1"/>
      <w:marLeft w:val="0"/>
      <w:marRight w:val="0"/>
      <w:marTop w:val="0"/>
      <w:marBottom w:val="0"/>
      <w:divBdr>
        <w:top w:val="none" w:sz="0" w:space="0" w:color="auto"/>
        <w:left w:val="none" w:sz="0" w:space="0" w:color="auto"/>
        <w:bottom w:val="none" w:sz="0" w:space="0" w:color="auto"/>
        <w:right w:val="none" w:sz="0" w:space="0" w:color="auto"/>
      </w:divBdr>
    </w:div>
    <w:div w:id="430012670">
      <w:bodyDiv w:val="1"/>
      <w:marLeft w:val="0"/>
      <w:marRight w:val="0"/>
      <w:marTop w:val="0"/>
      <w:marBottom w:val="0"/>
      <w:divBdr>
        <w:top w:val="none" w:sz="0" w:space="0" w:color="auto"/>
        <w:left w:val="none" w:sz="0" w:space="0" w:color="auto"/>
        <w:bottom w:val="none" w:sz="0" w:space="0" w:color="auto"/>
        <w:right w:val="none" w:sz="0" w:space="0" w:color="auto"/>
      </w:divBdr>
    </w:div>
    <w:div w:id="443228983">
      <w:bodyDiv w:val="1"/>
      <w:marLeft w:val="0"/>
      <w:marRight w:val="0"/>
      <w:marTop w:val="0"/>
      <w:marBottom w:val="0"/>
      <w:divBdr>
        <w:top w:val="none" w:sz="0" w:space="0" w:color="auto"/>
        <w:left w:val="none" w:sz="0" w:space="0" w:color="auto"/>
        <w:bottom w:val="none" w:sz="0" w:space="0" w:color="auto"/>
        <w:right w:val="none" w:sz="0" w:space="0" w:color="auto"/>
      </w:divBdr>
    </w:div>
    <w:div w:id="462847131">
      <w:bodyDiv w:val="1"/>
      <w:marLeft w:val="0"/>
      <w:marRight w:val="0"/>
      <w:marTop w:val="0"/>
      <w:marBottom w:val="0"/>
      <w:divBdr>
        <w:top w:val="none" w:sz="0" w:space="0" w:color="auto"/>
        <w:left w:val="none" w:sz="0" w:space="0" w:color="auto"/>
        <w:bottom w:val="none" w:sz="0" w:space="0" w:color="auto"/>
        <w:right w:val="none" w:sz="0" w:space="0" w:color="auto"/>
      </w:divBdr>
    </w:div>
    <w:div w:id="578444056">
      <w:bodyDiv w:val="1"/>
      <w:marLeft w:val="0"/>
      <w:marRight w:val="0"/>
      <w:marTop w:val="0"/>
      <w:marBottom w:val="0"/>
      <w:divBdr>
        <w:top w:val="none" w:sz="0" w:space="0" w:color="auto"/>
        <w:left w:val="none" w:sz="0" w:space="0" w:color="auto"/>
        <w:bottom w:val="none" w:sz="0" w:space="0" w:color="auto"/>
        <w:right w:val="none" w:sz="0" w:space="0" w:color="auto"/>
      </w:divBdr>
    </w:div>
    <w:div w:id="641428509">
      <w:bodyDiv w:val="1"/>
      <w:marLeft w:val="0"/>
      <w:marRight w:val="0"/>
      <w:marTop w:val="0"/>
      <w:marBottom w:val="0"/>
      <w:divBdr>
        <w:top w:val="none" w:sz="0" w:space="0" w:color="auto"/>
        <w:left w:val="none" w:sz="0" w:space="0" w:color="auto"/>
        <w:bottom w:val="none" w:sz="0" w:space="0" w:color="auto"/>
        <w:right w:val="none" w:sz="0" w:space="0" w:color="auto"/>
      </w:divBdr>
    </w:div>
    <w:div w:id="660737304">
      <w:bodyDiv w:val="1"/>
      <w:marLeft w:val="0"/>
      <w:marRight w:val="0"/>
      <w:marTop w:val="0"/>
      <w:marBottom w:val="0"/>
      <w:divBdr>
        <w:top w:val="none" w:sz="0" w:space="0" w:color="auto"/>
        <w:left w:val="none" w:sz="0" w:space="0" w:color="auto"/>
        <w:bottom w:val="none" w:sz="0" w:space="0" w:color="auto"/>
        <w:right w:val="none" w:sz="0" w:space="0" w:color="auto"/>
      </w:divBdr>
    </w:div>
    <w:div w:id="715159098">
      <w:bodyDiv w:val="1"/>
      <w:marLeft w:val="0"/>
      <w:marRight w:val="0"/>
      <w:marTop w:val="0"/>
      <w:marBottom w:val="0"/>
      <w:divBdr>
        <w:top w:val="none" w:sz="0" w:space="0" w:color="auto"/>
        <w:left w:val="none" w:sz="0" w:space="0" w:color="auto"/>
        <w:bottom w:val="none" w:sz="0" w:space="0" w:color="auto"/>
        <w:right w:val="none" w:sz="0" w:space="0" w:color="auto"/>
      </w:divBdr>
    </w:div>
    <w:div w:id="773135881">
      <w:bodyDiv w:val="1"/>
      <w:marLeft w:val="0"/>
      <w:marRight w:val="0"/>
      <w:marTop w:val="0"/>
      <w:marBottom w:val="0"/>
      <w:divBdr>
        <w:top w:val="none" w:sz="0" w:space="0" w:color="auto"/>
        <w:left w:val="none" w:sz="0" w:space="0" w:color="auto"/>
        <w:bottom w:val="none" w:sz="0" w:space="0" w:color="auto"/>
        <w:right w:val="none" w:sz="0" w:space="0" w:color="auto"/>
      </w:divBdr>
    </w:div>
    <w:div w:id="799108914">
      <w:bodyDiv w:val="1"/>
      <w:marLeft w:val="0"/>
      <w:marRight w:val="0"/>
      <w:marTop w:val="0"/>
      <w:marBottom w:val="0"/>
      <w:divBdr>
        <w:top w:val="none" w:sz="0" w:space="0" w:color="auto"/>
        <w:left w:val="none" w:sz="0" w:space="0" w:color="auto"/>
        <w:bottom w:val="none" w:sz="0" w:space="0" w:color="auto"/>
        <w:right w:val="none" w:sz="0" w:space="0" w:color="auto"/>
      </w:divBdr>
    </w:div>
    <w:div w:id="803238847">
      <w:marLeft w:val="0"/>
      <w:marRight w:val="0"/>
      <w:marTop w:val="0"/>
      <w:marBottom w:val="0"/>
      <w:divBdr>
        <w:top w:val="none" w:sz="0" w:space="0" w:color="auto"/>
        <w:left w:val="none" w:sz="0" w:space="0" w:color="auto"/>
        <w:bottom w:val="none" w:sz="0" w:space="0" w:color="auto"/>
        <w:right w:val="none" w:sz="0" w:space="0" w:color="auto"/>
      </w:divBdr>
    </w:div>
    <w:div w:id="833764422">
      <w:bodyDiv w:val="1"/>
      <w:marLeft w:val="0"/>
      <w:marRight w:val="0"/>
      <w:marTop w:val="0"/>
      <w:marBottom w:val="0"/>
      <w:divBdr>
        <w:top w:val="none" w:sz="0" w:space="0" w:color="auto"/>
        <w:left w:val="none" w:sz="0" w:space="0" w:color="auto"/>
        <w:bottom w:val="none" w:sz="0" w:space="0" w:color="auto"/>
        <w:right w:val="none" w:sz="0" w:space="0" w:color="auto"/>
      </w:divBdr>
    </w:div>
    <w:div w:id="856433285">
      <w:bodyDiv w:val="1"/>
      <w:marLeft w:val="0"/>
      <w:marRight w:val="0"/>
      <w:marTop w:val="0"/>
      <w:marBottom w:val="0"/>
      <w:divBdr>
        <w:top w:val="none" w:sz="0" w:space="0" w:color="auto"/>
        <w:left w:val="none" w:sz="0" w:space="0" w:color="auto"/>
        <w:bottom w:val="none" w:sz="0" w:space="0" w:color="auto"/>
        <w:right w:val="none" w:sz="0" w:space="0" w:color="auto"/>
      </w:divBdr>
    </w:div>
    <w:div w:id="959263256">
      <w:bodyDiv w:val="1"/>
      <w:marLeft w:val="0"/>
      <w:marRight w:val="0"/>
      <w:marTop w:val="0"/>
      <w:marBottom w:val="0"/>
      <w:divBdr>
        <w:top w:val="none" w:sz="0" w:space="0" w:color="auto"/>
        <w:left w:val="none" w:sz="0" w:space="0" w:color="auto"/>
        <w:bottom w:val="none" w:sz="0" w:space="0" w:color="auto"/>
        <w:right w:val="none" w:sz="0" w:space="0" w:color="auto"/>
      </w:divBdr>
    </w:div>
    <w:div w:id="1058095295">
      <w:bodyDiv w:val="1"/>
      <w:marLeft w:val="0"/>
      <w:marRight w:val="0"/>
      <w:marTop w:val="0"/>
      <w:marBottom w:val="0"/>
      <w:divBdr>
        <w:top w:val="none" w:sz="0" w:space="0" w:color="auto"/>
        <w:left w:val="none" w:sz="0" w:space="0" w:color="auto"/>
        <w:bottom w:val="none" w:sz="0" w:space="0" w:color="auto"/>
        <w:right w:val="none" w:sz="0" w:space="0" w:color="auto"/>
      </w:divBdr>
    </w:div>
    <w:div w:id="1197086711">
      <w:bodyDiv w:val="1"/>
      <w:marLeft w:val="0"/>
      <w:marRight w:val="0"/>
      <w:marTop w:val="0"/>
      <w:marBottom w:val="0"/>
      <w:divBdr>
        <w:top w:val="none" w:sz="0" w:space="0" w:color="auto"/>
        <w:left w:val="none" w:sz="0" w:space="0" w:color="auto"/>
        <w:bottom w:val="none" w:sz="0" w:space="0" w:color="auto"/>
        <w:right w:val="none" w:sz="0" w:space="0" w:color="auto"/>
      </w:divBdr>
    </w:div>
    <w:div w:id="1265308759">
      <w:bodyDiv w:val="1"/>
      <w:marLeft w:val="0"/>
      <w:marRight w:val="0"/>
      <w:marTop w:val="0"/>
      <w:marBottom w:val="0"/>
      <w:divBdr>
        <w:top w:val="none" w:sz="0" w:space="0" w:color="auto"/>
        <w:left w:val="none" w:sz="0" w:space="0" w:color="auto"/>
        <w:bottom w:val="none" w:sz="0" w:space="0" w:color="auto"/>
        <w:right w:val="none" w:sz="0" w:space="0" w:color="auto"/>
      </w:divBdr>
    </w:div>
    <w:div w:id="1268587281">
      <w:bodyDiv w:val="1"/>
      <w:marLeft w:val="0"/>
      <w:marRight w:val="0"/>
      <w:marTop w:val="0"/>
      <w:marBottom w:val="0"/>
      <w:divBdr>
        <w:top w:val="none" w:sz="0" w:space="0" w:color="auto"/>
        <w:left w:val="none" w:sz="0" w:space="0" w:color="auto"/>
        <w:bottom w:val="none" w:sz="0" w:space="0" w:color="auto"/>
        <w:right w:val="none" w:sz="0" w:space="0" w:color="auto"/>
      </w:divBdr>
    </w:div>
    <w:div w:id="1296835241">
      <w:bodyDiv w:val="1"/>
      <w:marLeft w:val="0"/>
      <w:marRight w:val="0"/>
      <w:marTop w:val="0"/>
      <w:marBottom w:val="0"/>
      <w:divBdr>
        <w:top w:val="none" w:sz="0" w:space="0" w:color="auto"/>
        <w:left w:val="none" w:sz="0" w:space="0" w:color="auto"/>
        <w:bottom w:val="none" w:sz="0" w:space="0" w:color="auto"/>
        <w:right w:val="none" w:sz="0" w:space="0" w:color="auto"/>
      </w:divBdr>
    </w:div>
    <w:div w:id="1326278674">
      <w:bodyDiv w:val="1"/>
      <w:marLeft w:val="0"/>
      <w:marRight w:val="0"/>
      <w:marTop w:val="0"/>
      <w:marBottom w:val="0"/>
      <w:divBdr>
        <w:top w:val="none" w:sz="0" w:space="0" w:color="auto"/>
        <w:left w:val="none" w:sz="0" w:space="0" w:color="auto"/>
        <w:bottom w:val="none" w:sz="0" w:space="0" w:color="auto"/>
        <w:right w:val="none" w:sz="0" w:space="0" w:color="auto"/>
      </w:divBdr>
    </w:div>
    <w:div w:id="1333877071">
      <w:bodyDiv w:val="1"/>
      <w:marLeft w:val="0"/>
      <w:marRight w:val="0"/>
      <w:marTop w:val="0"/>
      <w:marBottom w:val="0"/>
      <w:divBdr>
        <w:top w:val="none" w:sz="0" w:space="0" w:color="auto"/>
        <w:left w:val="none" w:sz="0" w:space="0" w:color="auto"/>
        <w:bottom w:val="none" w:sz="0" w:space="0" w:color="auto"/>
        <w:right w:val="none" w:sz="0" w:space="0" w:color="auto"/>
      </w:divBdr>
    </w:div>
    <w:div w:id="1376084399">
      <w:bodyDiv w:val="1"/>
      <w:marLeft w:val="0"/>
      <w:marRight w:val="0"/>
      <w:marTop w:val="0"/>
      <w:marBottom w:val="0"/>
      <w:divBdr>
        <w:top w:val="none" w:sz="0" w:space="0" w:color="auto"/>
        <w:left w:val="none" w:sz="0" w:space="0" w:color="auto"/>
        <w:bottom w:val="none" w:sz="0" w:space="0" w:color="auto"/>
        <w:right w:val="none" w:sz="0" w:space="0" w:color="auto"/>
      </w:divBdr>
    </w:div>
    <w:div w:id="1576697323">
      <w:bodyDiv w:val="1"/>
      <w:marLeft w:val="0"/>
      <w:marRight w:val="0"/>
      <w:marTop w:val="0"/>
      <w:marBottom w:val="0"/>
      <w:divBdr>
        <w:top w:val="none" w:sz="0" w:space="0" w:color="auto"/>
        <w:left w:val="none" w:sz="0" w:space="0" w:color="auto"/>
        <w:bottom w:val="none" w:sz="0" w:space="0" w:color="auto"/>
        <w:right w:val="none" w:sz="0" w:space="0" w:color="auto"/>
      </w:divBdr>
    </w:div>
    <w:div w:id="1614363836">
      <w:bodyDiv w:val="1"/>
      <w:marLeft w:val="0"/>
      <w:marRight w:val="0"/>
      <w:marTop w:val="0"/>
      <w:marBottom w:val="0"/>
      <w:divBdr>
        <w:top w:val="none" w:sz="0" w:space="0" w:color="auto"/>
        <w:left w:val="none" w:sz="0" w:space="0" w:color="auto"/>
        <w:bottom w:val="none" w:sz="0" w:space="0" w:color="auto"/>
        <w:right w:val="none" w:sz="0" w:space="0" w:color="auto"/>
      </w:divBdr>
    </w:div>
    <w:div w:id="1645894045">
      <w:bodyDiv w:val="1"/>
      <w:marLeft w:val="0"/>
      <w:marRight w:val="0"/>
      <w:marTop w:val="0"/>
      <w:marBottom w:val="0"/>
      <w:divBdr>
        <w:top w:val="none" w:sz="0" w:space="0" w:color="auto"/>
        <w:left w:val="none" w:sz="0" w:space="0" w:color="auto"/>
        <w:bottom w:val="none" w:sz="0" w:space="0" w:color="auto"/>
        <w:right w:val="none" w:sz="0" w:space="0" w:color="auto"/>
      </w:divBdr>
    </w:div>
    <w:div w:id="1676419852">
      <w:bodyDiv w:val="1"/>
      <w:marLeft w:val="0"/>
      <w:marRight w:val="0"/>
      <w:marTop w:val="0"/>
      <w:marBottom w:val="0"/>
      <w:divBdr>
        <w:top w:val="none" w:sz="0" w:space="0" w:color="auto"/>
        <w:left w:val="none" w:sz="0" w:space="0" w:color="auto"/>
        <w:bottom w:val="none" w:sz="0" w:space="0" w:color="auto"/>
        <w:right w:val="none" w:sz="0" w:space="0" w:color="auto"/>
      </w:divBdr>
    </w:div>
    <w:div w:id="1691758070">
      <w:bodyDiv w:val="1"/>
      <w:marLeft w:val="0"/>
      <w:marRight w:val="0"/>
      <w:marTop w:val="0"/>
      <w:marBottom w:val="0"/>
      <w:divBdr>
        <w:top w:val="none" w:sz="0" w:space="0" w:color="auto"/>
        <w:left w:val="none" w:sz="0" w:space="0" w:color="auto"/>
        <w:bottom w:val="none" w:sz="0" w:space="0" w:color="auto"/>
        <w:right w:val="none" w:sz="0" w:space="0" w:color="auto"/>
      </w:divBdr>
    </w:div>
    <w:div w:id="1765414690">
      <w:bodyDiv w:val="1"/>
      <w:marLeft w:val="0"/>
      <w:marRight w:val="0"/>
      <w:marTop w:val="0"/>
      <w:marBottom w:val="0"/>
      <w:divBdr>
        <w:top w:val="none" w:sz="0" w:space="0" w:color="auto"/>
        <w:left w:val="none" w:sz="0" w:space="0" w:color="auto"/>
        <w:bottom w:val="none" w:sz="0" w:space="0" w:color="auto"/>
        <w:right w:val="none" w:sz="0" w:space="0" w:color="auto"/>
      </w:divBdr>
    </w:div>
    <w:div w:id="1790860071">
      <w:bodyDiv w:val="1"/>
      <w:marLeft w:val="0"/>
      <w:marRight w:val="0"/>
      <w:marTop w:val="0"/>
      <w:marBottom w:val="0"/>
      <w:divBdr>
        <w:top w:val="none" w:sz="0" w:space="0" w:color="auto"/>
        <w:left w:val="none" w:sz="0" w:space="0" w:color="auto"/>
        <w:bottom w:val="none" w:sz="0" w:space="0" w:color="auto"/>
        <w:right w:val="none" w:sz="0" w:space="0" w:color="auto"/>
      </w:divBdr>
    </w:div>
    <w:div w:id="1796875745">
      <w:bodyDiv w:val="1"/>
      <w:marLeft w:val="0"/>
      <w:marRight w:val="0"/>
      <w:marTop w:val="0"/>
      <w:marBottom w:val="0"/>
      <w:divBdr>
        <w:top w:val="none" w:sz="0" w:space="0" w:color="auto"/>
        <w:left w:val="none" w:sz="0" w:space="0" w:color="auto"/>
        <w:bottom w:val="none" w:sz="0" w:space="0" w:color="auto"/>
        <w:right w:val="none" w:sz="0" w:space="0" w:color="auto"/>
      </w:divBdr>
    </w:div>
    <w:div w:id="1853521027">
      <w:bodyDiv w:val="1"/>
      <w:marLeft w:val="0"/>
      <w:marRight w:val="0"/>
      <w:marTop w:val="0"/>
      <w:marBottom w:val="0"/>
      <w:divBdr>
        <w:top w:val="none" w:sz="0" w:space="0" w:color="auto"/>
        <w:left w:val="none" w:sz="0" w:space="0" w:color="auto"/>
        <w:bottom w:val="none" w:sz="0" w:space="0" w:color="auto"/>
        <w:right w:val="none" w:sz="0" w:space="0" w:color="auto"/>
      </w:divBdr>
    </w:div>
    <w:div w:id="1899899971">
      <w:bodyDiv w:val="1"/>
      <w:marLeft w:val="0"/>
      <w:marRight w:val="0"/>
      <w:marTop w:val="0"/>
      <w:marBottom w:val="0"/>
      <w:divBdr>
        <w:top w:val="none" w:sz="0" w:space="0" w:color="auto"/>
        <w:left w:val="none" w:sz="0" w:space="0" w:color="auto"/>
        <w:bottom w:val="none" w:sz="0" w:space="0" w:color="auto"/>
        <w:right w:val="none" w:sz="0" w:space="0" w:color="auto"/>
      </w:divBdr>
    </w:div>
    <w:div w:id="1908759326">
      <w:bodyDiv w:val="1"/>
      <w:marLeft w:val="0"/>
      <w:marRight w:val="0"/>
      <w:marTop w:val="0"/>
      <w:marBottom w:val="0"/>
      <w:divBdr>
        <w:top w:val="none" w:sz="0" w:space="0" w:color="auto"/>
        <w:left w:val="none" w:sz="0" w:space="0" w:color="auto"/>
        <w:bottom w:val="none" w:sz="0" w:space="0" w:color="auto"/>
        <w:right w:val="none" w:sz="0" w:space="0" w:color="auto"/>
      </w:divBdr>
    </w:div>
    <w:div w:id="1971323673">
      <w:bodyDiv w:val="1"/>
      <w:marLeft w:val="0"/>
      <w:marRight w:val="0"/>
      <w:marTop w:val="0"/>
      <w:marBottom w:val="0"/>
      <w:divBdr>
        <w:top w:val="none" w:sz="0" w:space="0" w:color="auto"/>
        <w:left w:val="none" w:sz="0" w:space="0" w:color="auto"/>
        <w:bottom w:val="none" w:sz="0" w:space="0" w:color="auto"/>
        <w:right w:val="none" w:sz="0" w:space="0" w:color="auto"/>
      </w:divBdr>
    </w:div>
    <w:div w:id="1996912814">
      <w:bodyDiv w:val="1"/>
      <w:marLeft w:val="0"/>
      <w:marRight w:val="0"/>
      <w:marTop w:val="0"/>
      <w:marBottom w:val="0"/>
      <w:divBdr>
        <w:top w:val="none" w:sz="0" w:space="0" w:color="auto"/>
        <w:left w:val="none" w:sz="0" w:space="0" w:color="auto"/>
        <w:bottom w:val="none" w:sz="0" w:space="0" w:color="auto"/>
        <w:right w:val="none" w:sz="0" w:space="0" w:color="auto"/>
      </w:divBdr>
    </w:div>
    <w:div w:id="209389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bsl.gov.lk"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sz="910"/>
            </a:pPr>
            <a:r>
              <a:rPr lang="en-US" sz="910"/>
              <a:t>Exports Performance</a:t>
            </a:r>
          </a:p>
        </c:rich>
      </c:tx>
      <c:spPr>
        <a:noFill/>
        <a:ln w="17968">
          <a:noFill/>
        </a:ln>
      </c:spPr>
    </c:title>
    <c:plotArea>
      <c:layout>
        <c:manualLayout>
          <c:layoutTarget val="inner"/>
          <c:xMode val="edge"/>
          <c:yMode val="edge"/>
          <c:x val="0.10447025371828535"/>
          <c:y val="0.15319444444444474"/>
          <c:w val="0.82913188270820981"/>
          <c:h val="0.64739173228346591"/>
        </c:manualLayout>
      </c:layout>
      <c:lineChart>
        <c:grouping val="standard"/>
        <c:ser>
          <c:idx val="0"/>
          <c:order val="0"/>
          <c:tx>
            <c:strRef>
              <c:f>Sheet2!$B$4</c:f>
              <c:strCache>
                <c:ptCount val="1"/>
                <c:pt idx="0">
                  <c:v>2013</c:v>
                </c:pt>
              </c:strCache>
            </c:strRef>
          </c:tx>
          <c:spPr>
            <a:ln w="20214" cap="rnd">
              <a:solidFill>
                <a:schemeClr val="accent1"/>
              </a:solidFill>
              <a:prstDash val="sysDash"/>
              <a:round/>
            </a:ln>
            <a:effectLst/>
          </c:spPr>
          <c:marker>
            <c:symbol val="circle"/>
            <c:size val="2"/>
            <c:spPr>
              <a:solidFill>
                <a:schemeClr val="accent1"/>
              </a:solidFill>
              <a:ln w="6738">
                <a:solidFill>
                  <a:schemeClr val="accent1"/>
                </a:solidFill>
              </a:ln>
              <a:effectLst/>
            </c:spPr>
          </c:marker>
          <c:cat>
            <c:strRef>
              <c:f>Sheet2!$A$5:$A$16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Sheet2!$B$5:$B$16</c:f>
              <c:numCache>
                <c:formatCode>_(* #,##0.00_);_(* \(#,##0.00\);_(* "-"??_);_(@_)</c:formatCode>
                <c:ptCount val="12"/>
                <c:pt idx="0">
                  <c:v>728.67048733015326</c:v>
                </c:pt>
                <c:pt idx="1">
                  <c:v>797.70684284215372</c:v>
                </c:pt>
                <c:pt idx="2">
                  <c:v>832.02584082671058</c:v>
                </c:pt>
                <c:pt idx="3">
                  <c:v>696.53982431737154</c:v>
                </c:pt>
                <c:pt idx="4">
                  <c:v>793.86755579006376</c:v>
                </c:pt>
                <c:pt idx="5">
                  <c:v>807.6126751415876</c:v>
                </c:pt>
                <c:pt idx="6">
                  <c:v>859.30022864074328</c:v>
                </c:pt>
                <c:pt idx="7">
                  <c:v>918.63737896752116</c:v>
                </c:pt>
                <c:pt idx="8">
                  <c:v>899.0348928672164</c:v>
                </c:pt>
                <c:pt idx="9">
                  <c:v>1041.3319298561878</c:v>
                </c:pt>
                <c:pt idx="10">
                  <c:v>1031.8426271433991</c:v>
                </c:pt>
                <c:pt idx="11">
                  <c:v>987.68044150273863</c:v>
                </c:pt>
              </c:numCache>
            </c:numRef>
          </c:val>
        </c:ser>
        <c:ser>
          <c:idx val="1"/>
          <c:order val="1"/>
          <c:tx>
            <c:strRef>
              <c:f>Sheet2!$C$4</c:f>
              <c:strCache>
                <c:ptCount val="1"/>
                <c:pt idx="0">
                  <c:v>2014</c:v>
                </c:pt>
              </c:strCache>
            </c:strRef>
          </c:tx>
          <c:spPr>
            <a:ln w="20214" cap="rnd">
              <a:solidFill>
                <a:schemeClr val="accent2"/>
              </a:solidFill>
              <a:round/>
            </a:ln>
            <a:effectLst/>
          </c:spPr>
          <c:marker>
            <c:symbol val="circle"/>
            <c:size val="2"/>
            <c:spPr>
              <a:solidFill>
                <a:schemeClr val="accent2"/>
              </a:solidFill>
              <a:ln w="6738">
                <a:solidFill>
                  <a:schemeClr val="accent2"/>
                </a:solidFill>
              </a:ln>
              <a:effectLst/>
            </c:spPr>
          </c:marker>
          <c:cat>
            <c:strRef>
              <c:f>Sheet2!$A$5:$A$16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Sheet2!$C$5:$C$16</c:f>
              <c:numCache>
                <c:formatCode>_(* #,##0.00_);_(* \(#,##0.00\);_(* "-"??_);_(@_)</c:formatCode>
                <c:ptCount val="12"/>
                <c:pt idx="0">
                  <c:v>898.04252172041299</c:v>
                </c:pt>
                <c:pt idx="1">
                  <c:v>840.97375156215162</c:v>
                </c:pt>
                <c:pt idx="2">
                  <c:v>1069.878472634173</c:v>
                </c:pt>
                <c:pt idx="3">
                  <c:v>762.21791589041015</c:v>
                </c:pt>
                <c:pt idx="4">
                  <c:v>882.13734464801064</c:v>
                </c:pt>
                <c:pt idx="5">
                  <c:v>985.63518261207992</c:v>
                </c:pt>
                <c:pt idx="6">
                  <c:v>954.74862008459536</c:v>
                </c:pt>
                <c:pt idx="7">
                  <c:v>991.25708884032849</c:v>
                </c:pt>
                <c:pt idx="8">
                  <c:v>903.32677562288495</c:v>
                </c:pt>
              </c:numCache>
            </c:numRef>
          </c:val>
        </c:ser>
        <c:marker val="1"/>
        <c:axId val="147022592"/>
        <c:axId val="147024512"/>
      </c:lineChart>
      <c:catAx>
        <c:axId val="147022592"/>
        <c:scaling>
          <c:orientation val="minMax"/>
        </c:scaling>
        <c:axPos val="b"/>
        <c:numFmt formatCode="General" sourceLinked="1"/>
        <c:majorTickMark val="none"/>
        <c:tickLblPos val="nextTo"/>
        <c:spPr>
          <a:noFill/>
          <a:ln w="6738" cap="flat" cmpd="sng" algn="ctr">
            <a:solidFill>
              <a:schemeClr val="tx1">
                <a:lumMod val="15000"/>
                <a:lumOff val="85000"/>
              </a:schemeClr>
            </a:solidFill>
            <a:round/>
          </a:ln>
          <a:effectLst/>
        </c:spPr>
        <c:txPr>
          <a:bodyPr rot="-60000000" vert="horz"/>
          <a:lstStyle/>
          <a:p>
            <a:pPr>
              <a:defRPr/>
            </a:pPr>
            <a:endParaRPr lang="en-US"/>
          </a:p>
        </c:txPr>
        <c:crossAx val="147024512"/>
        <c:crosses val="autoZero"/>
        <c:auto val="1"/>
        <c:lblAlgn val="ctr"/>
        <c:lblOffset val="100"/>
      </c:catAx>
      <c:valAx>
        <c:axId val="147024512"/>
        <c:scaling>
          <c:orientation val="minMax"/>
          <c:min val="650"/>
        </c:scaling>
        <c:axPos val="l"/>
        <c:title>
          <c:tx>
            <c:rich>
              <a:bodyPr rot="0" vert="horz"/>
              <a:lstStyle/>
              <a:p>
                <a:pPr algn="ctr">
                  <a:defRPr sz="705" b="1" i="0" u="none" strike="noStrike" baseline="0">
                    <a:solidFill>
                      <a:srgbClr val="000000"/>
                    </a:solidFill>
                    <a:latin typeface="Times New Roman"/>
                    <a:ea typeface="Times New Roman"/>
                    <a:cs typeface="Times New Roman"/>
                  </a:defRPr>
                </a:pPr>
                <a:r>
                  <a:t>USD Mn</a:t>
                </a:r>
              </a:p>
            </c:rich>
          </c:tx>
          <c:layout>
            <c:manualLayout>
              <c:xMode val="edge"/>
              <c:yMode val="edge"/>
              <c:x val="3.4098370839739725E-2"/>
              <c:y val="5.032659577346648E-2"/>
            </c:manualLayout>
          </c:layout>
        </c:title>
        <c:numFmt formatCode="_(* #,##0_);_(* \(#,##0\);_(* &quot;-&quot;_);_(@_)" sourceLinked="0"/>
        <c:majorTickMark val="none"/>
        <c:tickLblPos val="nextTo"/>
        <c:spPr>
          <a:ln w="6738">
            <a:noFill/>
          </a:ln>
        </c:spPr>
        <c:txPr>
          <a:bodyPr rot="-60000000" vert="horz"/>
          <a:lstStyle/>
          <a:p>
            <a:pPr>
              <a:defRPr/>
            </a:pPr>
            <a:endParaRPr lang="en-US"/>
          </a:p>
        </c:txPr>
        <c:crossAx val="147022592"/>
        <c:crosses val="autoZero"/>
        <c:crossBetween val="between"/>
      </c:valAx>
      <c:spPr>
        <a:noFill/>
        <a:ln w="25399">
          <a:noFill/>
        </a:ln>
      </c:spPr>
    </c:plotArea>
    <c:legend>
      <c:legendPos val="b"/>
      <c:layout>
        <c:manualLayout>
          <c:xMode val="edge"/>
          <c:yMode val="edge"/>
          <c:wMode val="edge"/>
          <c:hMode val="edge"/>
          <c:x val="0.23661463914643824"/>
          <c:y val="0.89174175393024357"/>
          <c:w val="0.66871080464054489"/>
          <c:h val="0.98625429553264576"/>
        </c:manualLayout>
      </c:layout>
      <c:spPr>
        <a:noFill/>
        <a:ln w="17968">
          <a:noFill/>
        </a:ln>
      </c:spPr>
    </c:legend>
    <c:plotVisOnly val="1"/>
    <c:dispBlanksAs val="gap"/>
  </c:chart>
  <c:spPr>
    <a:solidFill>
      <a:schemeClr val="bg1"/>
    </a:solidFill>
    <a:ln w="6738" cap="flat" cmpd="sng" algn="ctr">
      <a:solidFill>
        <a:schemeClr val="tx1"/>
      </a:solidFill>
      <a:round/>
    </a:ln>
    <a:effectLst/>
  </c:spPr>
  <c:txPr>
    <a:bodyPr/>
    <a:lstStyle/>
    <a:p>
      <a:pPr>
        <a:defRPr sz="707">
          <a:latin typeface="Times New Roman" panose="02020603050405020304" pitchFamily="18" charset="0"/>
          <a:cs typeface="Times New Roman" panose="02020603050405020304"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a:pPr>
            <a:r>
              <a:rPr lang="en-US"/>
              <a:t>Imports Performance</a:t>
            </a:r>
          </a:p>
        </c:rich>
      </c:tx>
      <c:spPr>
        <a:noFill/>
        <a:ln w="18082">
          <a:noFill/>
        </a:ln>
      </c:spPr>
    </c:title>
    <c:plotArea>
      <c:layout>
        <c:manualLayout>
          <c:layoutTarget val="inner"/>
          <c:xMode val="edge"/>
          <c:yMode val="edge"/>
          <c:x val="0.10739129483814523"/>
          <c:y val="0.16861111111111121"/>
          <c:w val="0.8620531496062992"/>
          <c:h val="0.62918051910177941"/>
        </c:manualLayout>
      </c:layout>
      <c:lineChart>
        <c:grouping val="standard"/>
        <c:ser>
          <c:idx val="0"/>
          <c:order val="0"/>
          <c:tx>
            <c:strRef>
              <c:f>Sheet2!$B$4</c:f>
              <c:strCache>
                <c:ptCount val="1"/>
                <c:pt idx="0">
                  <c:v>2013</c:v>
                </c:pt>
              </c:strCache>
            </c:strRef>
          </c:tx>
          <c:spPr>
            <a:ln w="20343" cap="rnd">
              <a:solidFill>
                <a:schemeClr val="accent1"/>
              </a:solidFill>
              <a:prstDash val="sysDash"/>
              <a:round/>
            </a:ln>
            <a:effectLst/>
          </c:spPr>
          <c:marker>
            <c:symbol val="circle"/>
            <c:size val="3"/>
            <c:spPr>
              <a:solidFill>
                <a:schemeClr val="accent1"/>
              </a:solidFill>
              <a:ln w="6781">
                <a:solidFill>
                  <a:schemeClr val="accent1"/>
                </a:solidFill>
              </a:ln>
              <a:effectLst/>
            </c:spPr>
          </c:marker>
          <c:cat>
            <c:strRef>
              <c:f>Sheet2!$A$21:$A$32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Sheet2!$B$21:$B$32</c:f>
              <c:numCache>
                <c:formatCode>_(* #,##0.00_);_(* \(#,##0.00\);_(* "-"??_);_(@_)</c:formatCode>
                <c:ptCount val="12"/>
                <c:pt idx="0">
                  <c:v>1532.239582896711</c:v>
                </c:pt>
                <c:pt idx="1">
                  <c:v>1433.2484412832089</c:v>
                </c:pt>
                <c:pt idx="2">
                  <c:v>1544.8199508589528</c:v>
                </c:pt>
                <c:pt idx="3">
                  <c:v>1525.5540429605198</c:v>
                </c:pt>
                <c:pt idx="4">
                  <c:v>1548.8009254471533</c:v>
                </c:pt>
                <c:pt idx="5">
                  <c:v>1509.3940455254672</c:v>
                </c:pt>
                <c:pt idx="6">
                  <c:v>1433.0315762055395</c:v>
                </c:pt>
                <c:pt idx="7">
                  <c:v>1474.908208041011</c:v>
                </c:pt>
                <c:pt idx="8">
                  <c:v>1486.3308700693876</c:v>
                </c:pt>
                <c:pt idx="9">
                  <c:v>1393.6547102502925</c:v>
                </c:pt>
                <c:pt idx="10">
                  <c:v>1569.6831663124324</c:v>
                </c:pt>
                <c:pt idx="11">
                  <c:v>1551.0887289877007</c:v>
                </c:pt>
              </c:numCache>
            </c:numRef>
          </c:val>
        </c:ser>
        <c:ser>
          <c:idx val="1"/>
          <c:order val="1"/>
          <c:tx>
            <c:strRef>
              <c:f>Sheet2!$C$4</c:f>
              <c:strCache>
                <c:ptCount val="1"/>
                <c:pt idx="0">
                  <c:v>2014</c:v>
                </c:pt>
              </c:strCache>
            </c:strRef>
          </c:tx>
          <c:spPr>
            <a:ln w="20343" cap="rnd">
              <a:solidFill>
                <a:schemeClr val="accent2"/>
              </a:solidFill>
              <a:round/>
            </a:ln>
            <a:effectLst/>
          </c:spPr>
          <c:marker>
            <c:symbol val="circle"/>
            <c:size val="3"/>
            <c:spPr>
              <a:solidFill>
                <a:schemeClr val="accent2"/>
              </a:solidFill>
              <a:ln w="6781">
                <a:solidFill>
                  <a:schemeClr val="accent2"/>
                </a:solidFill>
              </a:ln>
              <a:effectLst/>
            </c:spPr>
          </c:marker>
          <c:cat>
            <c:strRef>
              <c:f>Sheet2!$A$21:$A$32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Sheet2!$C$21:$C$32</c:f>
              <c:numCache>
                <c:formatCode>General</c:formatCode>
                <c:ptCount val="12"/>
                <c:pt idx="0">
                  <c:v>1655.454371233121</c:v>
                </c:pt>
                <c:pt idx="1">
                  <c:v>1420.4187569877672</c:v>
                </c:pt>
                <c:pt idx="2">
                  <c:v>1672.1009252950814</c:v>
                </c:pt>
                <c:pt idx="3">
                  <c:v>1444.4526899616517</c:v>
                </c:pt>
                <c:pt idx="4">
                  <c:v>1353.1930295385366</c:v>
                </c:pt>
                <c:pt idx="5">
                  <c:v>1439.4000128990126</c:v>
                </c:pt>
                <c:pt idx="6">
                  <c:v>1845.3214368037527</c:v>
                </c:pt>
                <c:pt idx="7">
                  <c:v>1724.5032441152282</c:v>
                </c:pt>
                <c:pt idx="8">
                  <c:v>1667.4534675979407</c:v>
                </c:pt>
              </c:numCache>
            </c:numRef>
          </c:val>
        </c:ser>
        <c:marker val="1"/>
        <c:axId val="147328000"/>
        <c:axId val="147334272"/>
      </c:lineChart>
      <c:catAx>
        <c:axId val="147328000"/>
        <c:scaling>
          <c:orientation val="minMax"/>
        </c:scaling>
        <c:axPos val="b"/>
        <c:numFmt formatCode="General" sourceLinked="1"/>
        <c:majorTickMark val="none"/>
        <c:tickLblPos val="nextTo"/>
        <c:spPr>
          <a:noFill/>
          <a:ln w="6781" cap="flat" cmpd="sng" algn="ctr">
            <a:solidFill>
              <a:schemeClr val="tx1">
                <a:lumMod val="15000"/>
                <a:lumOff val="85000"/>
              </a:schemeClr>
            </a:solidFill>
            <a:round/>
          </a:ln>
          <a:effectLst/>
        </c:spPr>
        <c:txPr>
          <a:bodyPr rot="-60000000" vert="horz"/>
          <a:lstStyle/>
          <a:p>
            <a:pPr>
              <a:defRPr/>
            </a:pPr>
            <a:endParaRPr lang="en-US"/>
          </a:p>
        </c:txPr>
        <c:crossAx val="147334272"/>
        <c:crosses val="autoZero"/>
        <c:auto val="1"/>
        <c:lblAlgn val="ctr"/>
        <c:lblOffset val="100"/>
      </c:catAx>
      <c:valAx>
        <c:axId val="147334272"/>
        <c:scaling>
          <c:orientation val="minMax"/>
          <c:min val="1200"/>
        </c:scaling>
        <c:axPos val="l"/>
        <c:title>
          <c:tx>
            <c:rich>
              <a:bodyPr rot="0" vert="horz"/>
              <a:lstStyle/>
              <a:p>
                <a:pPr algn="ctr">
                  <a:defRPr sz="746" b="1" i="0" u="none" strike="noStrike" baseline="0">
                    <a:solidFill>
                      <a:srgbClr val="000000"/>
                    </a:solidFill>
                    <a:latin typeface="Times New Roman"/>
                    <a:ea typeface="Times New Roman"/>
                    <a:cs typeface="Times New Roman"/>
                  </a:defRPr>
                </a:pPr>
                <a:r>
                  <a:t>USD Mn</a:t>
                </a:r>
              </a:p>
            </c:rich>
          </c:tx>
          <c:layout>
            <c:manualLayout>
              <c:xMode val="edge"/>
              <c:yMode val="edge"/>
              <c:x val="3.0555555555555565E-2"/>
              <c:y val="7.2679991924086473E-2"/>
            </c:manualLayout>
          </c:layout>
        </c:title>
        <c:numFmt formatCode="_(* #,##0_);_(* \(#,##0\);_(* &quot;-&quot;_);_(@_)" sourceLinked="0"/>
        <c:majorTickMark val="none"/>
        <c:tickLblPos val="nextTo"/>
        <c:spPr>
          <a:ln w="6781">
            <a:noFill/>
          </a:ln>
        </c:spPr>
        <c:txPr>
          <a:bodyPr rot="-60000000" vert="horz"/>
          <a:lstStyle/>
          <a:p>
            <a:pPr>
              <a:defRPr/>
            </a:pPr>
            <a:endParaRPr lang="en-US"/>
          </a:p>
        </c:txPr>
        <c:crossAx val="147328000"/>
        <c:crosses val="autoZero"/>
        <c:crossBetween val="between"/>
      </c:valAx>
      <c:spPr>
        <a:noFill/>
        <a:ln w="25420">
          <a:noFill/>
        </a:ln>
      </c:spPr>
    </c:plotArea>
    <c:legend>
      <c:legendPos val="b"/>
      <c:layout>
        <c:manualLayout>
          <c:xMode val="edge"/>
          <c:yMode val="edge"/>
          <c:wMode val="edge"/>
          <c:hMode val="edge"/>
          <c:x val="0.27885639295088144"/>
          <c:y val="0.88247984386567069"/>
          <c:w val="0.72114360704911928"/>
          <c:h val="0.97948717948717967"/>
        </c:manualLayout>
      </c:layout>
      <c:spPr>
        <a:noFill/>
        <a:ln w="18082">
          <a:noFill/>
        </a:ln>
      </c:spPr>
    </c:legend>
    <c:plotVisOnly val="1"/>
    <c:dispBlanksAs val="gap"/>
  </c:chart>
  <c:spPr>
    <a:solidFill>
      <a:schemeClr val="bg1"/>
    </a:solidFill>
    <a:ln w="6781" cap="flat" cmpd="sng" algn="ctr">
      <a:solidFill>
        <a:schemeClr val="tx1">
          <a:lumMod val="95000"/>
          <a:lumOff val="5000"/>
        </a:schemeClr>
      </a:solidFill>
      <a:round/>
    </a:ln>
    <a:effectLst/>
  </c:spPr>
  <c:txPr>
    <a:bodyPr/>
    <a:lstStyle/>
    <a:p>
      <a:pPr>
        <a:defRPr sz="748">
          <a:latin typeface="Times New Roman" panose="02020603050405020304" pitchFamily="18" charset="0"/>
          <a:cs typeface="Times New Roman" panose="02020603050405020304"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5CA1-D852-426E-9FB2-779CC271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13551</CharactersWithSpaces>
  <SharedDoc>false</SharedDoc>
  <HLinks>
    <vt:vector size="6" baseType="variant">
      <vt:variant>
        <vt:i4>4128803</vt:i4>
      </vt:variant>
      <vt:variant>
        <vt:i4>0</vt:i4>
      </vt:variant>
      <vt:variant>
        <vt:i4>0</vt:i4>
      </vt:variant>
      <vt:variant>
        <vt:i4>5</vt:i4>
      </vt:variant>
      <vt:variant>
        <vt:lpwstr>http://www.cbsl.gov.lk/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slhc</cp:lastModifiedBy>
  <cp:revision>2</cp:revision>
  <cp:lastPrinted>2014-11-07T08:57:00Z</cp:lastPrinted>
  <dcterms:created xsi:type="dcterms:W3CDTF">2014-11-27T19:50:00Z</dcterms:created>
  <dcterms:modified xsi:type="dcterms:W3CDTF">2014-11-27T19:50:00Z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261372317</vt:i4>
  </property>
</Properties>
</file>